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4.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4D6BA" w14:textId="0CEEA403" w:rsidR="00F06857" w:rsidRDefault="00F06857" w:rsidP="00F06857">
      <w:bookmarkStart w:id="0" w:name="_Toc466468810"/>
      <w:bookmarkStart w:id="1" w:name="_Toc440460700"/>
      <w:bookmarkStart w:id="2" w:name="_Toc440466196"/>
      <w:bookmarkStart w:id="3" w:name="_GoBack"/>
      <w:bookmarkEnd w:id="3"/>
      <w:r>
        <w:rPr>
          <w:noProof/>
          <w:lang w:eastAsia="en-GB" w:bidi="ar-SA"/>
        </w:rPr>
        <w:drawing>
          <wp:inline distT="0" distB="0" distL="0" distR="0" wp14:anchorId="7DF4FD56" wp14:editId="3A16B253">
            <wp:extent cx="3486150" cy="6096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14:paraId="231E7BFB" w14:textId="77777777" w:rsidR="00F06857" w:rsidRDefault="00F06857" w:rsidP="00F06857"/>
    <w:p w14:paraId="638720ED" w14:textId="77777777" w:rsidR="00F06857" w:rsidRDefault="00F06857" w:rsidP="00F06857">
      <w:pPr>
        <w:pStyle w:val="FSTitle"/>
        <w:rPr>
          <w:b/>
          <w:sz w:val="22"/>
        </w:rPr>
      </w:pPr>
    </w:p>
    <w:p w14:paraId="52070EA5" w14:textId="5A54B44F" w:rsidR="00F06857" w:rsidRDefault="00F06857" w:rsidP="00F06857">
      <w:pPr>
        <w:pStyle w:val="FSTitle"/>
        <w:rPr>
          <w:b/>
        </w:rPr>
      </w:pPr>
      <w:r>
        <w:rPr>
          <w:b/>
        </w:rPr>
        <w:t>Supporting document 5</w:t>
      </w:r>
    </w:p>
    <w:p w14:paraId="73C9B504" w14:textId="77777777" w:rsidR="00F06857" w:rsidRDefault="00F06857" w:rsidP="00F06857"/>
    <w:p w14:paraId="7F6FD5DF" w14:textId="77777777" w:rsidR="00F06857" w:rsidRDefault="00F06857" w:rsidP="00F06857">
      <w:r>
        <w:rPr>
          <w:sz w:val="32"/>
        </w:rPr>
        <w:t>Labelling Review Recommendation 34: Review of mandatory labelling of irradiated food</w:t>
      </w:r>
    </w:p>
    <w:p w14:paraId="52FD8E81" w14:textId="77777777" w:rsidR="00F06857" w:rsidRDefault="00F06857" w:rsidP="00F06857"/>
    <w:p w14:paraId="09E1B05F" w14:textId="77777777" w:rsidR="00F06857" w:rsidRPr="00977F09" w:rsidRDefault="00F06857" w:rsidP="00977F09">
      <w:pPr>
        <w:rPr>
          <w:b/>
          <w:sz w:val="32"/>
          <w:szCs w:val="32"/>
        </w:rPr>
      </w:pPr>
      <w:bookmarkStart w:id="4" w:name="_Toc466468811"/>
      <w:r w:rsidRPr="00977F09">
        <w:rPr>
          <w:sz w:val="32"/>
          <w:szCs w:val="32"/>
        </w:rPr>
        <w:t>Irradiation as a treatment for food</w:t>
      </w:r>
      <w:bookmarkEnd w:id="4"/>
    </w:p>
    <w:p w14:paraId="0A859455" w14:textId="77777777" w:rsidR="00F06857" w:rsidRDefault="00F06857" w:rsidP="00F06857">
      <w:pPr>
        <w:pBdr>
          <w:bottom w:val="single" w:sz="12" w:space="1" w:color="auto"/>
        </w:pBdr>
        <w:spacing w:line="280" w:lineRule="exact"/>
        <w:rPr>
          <w:rFonts w:cs="Arial"/>
          <w:bCs/>
        </w:rPr>
      </w:pPr>
    </w:p>
    <w:p w14:paraId="41983721" w14:textId="77777777" w:rsidR="00F06857" w:rsidRDefault="00F06857" w:rsidP="00F06857"/>
    <w:bookmarkEnd w:id="0"/>
    <w:bookmarkEnd w:id="1"/>
    <w:bookmarkEnd w:id="2"/>
    <w:p w14:paraId="234EADF2" w14:textId="77777777" w:rsidR="00420154" w:rsidRDefault="00E26377" w:rsidP="00E26377">
      <w:pPr>
        <w:widowControl/>
      </w:pPr>
      <w:r>
        <w:t>FSANZ has estimated the size of the current Australian and New Zealand domestic markets for irradiated produce.</w:t>
      </w:r>
    </w:p>
    <w:p w14:paraId="6426AA34" w14:textId="77777777" w:rsidR="00420154" w:rsidRDefault="00420154" w:rsidP="00E26377">
      <w:pPr>
        <w:widowControl/>
      </w:pPr>
    </w:p>
    <w:p w14:paraId="0ABB6D53" w14:textId="08D01BB6" w:rsidR="00E26377" w:rsidRDefault="00E26377" w:rsidP="00E26377">
      <w:pPr>
        <w:widowControl/>
      </w:pPr>
      <w:r>
        <w:t xml:space="preserve">For Australia, the domestic market was estimated using domestically grown and irradiated produce volumes and imported irradiated produce volumes. In the year ending June 2016, most of the irradiated food </w:t>
      </w:r>
      <w:r w:rsidR="00DC33E1">
        <w:t xml:space="preserve">(34 tonnes) </w:t>
      </w:r>
      <w:r>
        <w:t xml:space="preserve">available for retail sale was Australian grown irradiated produce. A </w:t>
      </w:r>
      <w:r w:rsidR="001868F7">
        <w:t xml:space="preserve">smaller </w:t>
      </w:r>
      <w:r>
        <w:t xml:space="preserve">amount of produce </w:t>
      </w:r>
      <w:r w:rsidR="00DC33E1">
        <w:t xml:space="preserve">(15 tonnes) </w:t>
      </w:r>
      <w:r w:rsidR="00EF26FB">
        <w:t xml:space="preserve">had been </w:t>
      </w:r>
      <w:r>
        <w:t xml:space="preserve">imported for domestic consumption. </w:t>
      </w:r>
    </w:p>
    <w:p w14:paraId="535DB360" w14:textId="77777777" w:rsidR="00E26377" w:rsidRDefault="00E26377" w:rsidP="00E26377">
      <w:pPr>
        <w:widowControl/>
      </w:pPr>
    </w:p>
    <w:p w14:paraId="4CB73E22" w14:textId="09D2D664" w:rsidR="00E26377" w:rsidRDefault="00E26377" w:rsidP="00E26377">
      <w:pPr>
        <w:widowControl/>
      </w:pPr>
      <w:r>
        <w:t xml:space="preserve">For New Zealand, the domestic market was estimated through imported produce volumes only, as New Zealand does not have an irradiation facility. All of the irradiated produce </w:t>
      </w:r>
      <w:r w:rsidR="00DC33E1">
        <w:t xml:space="preserve">(1550 tonnes) </w:t>
      </w:r>
      <w:r>
        <w:t>was imported from Australia between July 2015 and June 2016.</w:t>
      </w:r>
      <w:r w:rsidR="00EF26FB">
        <w:t xml:space="preserve"> </w:t>
      </w:r>
      <w:r w:rsidR="00DC33E1">
        <w:t>The N</w:t>
      </w:r>
      <w:r w:rsidR="00EF26FB">
        <w:t xml:space="preserve">ew Zealand domestic market for irradiated food </w:t>
      </w:r>
      <w:r w:rsidR="00DC33E1">
        <w:t xml:space="preserve">also </w:t>
      </w:r>
      <w:r w:rsidR="00EF26FB">
        <w:t xml:space="preserve">had a wider range of </w:t>
      </w:r>
      <w:r w:rsidR="00DC33E1">
        <w:t>irradiated produce available than in Australia.</w:t>
      </w:r>
      <w:r w:rsidR="00EF26FB">
        <w:t xml:space="preserve"> </w:t>
      </w:r>
    </w:p>
    <w:p w14:paraId="2B0BE214" w14:textId="77777777" w:rsidR="00E26377" w:rsidRDefault="00E26377" w:rsidP="00E26377"/>
    <w:p w14:paraId="7FAF9157" w14:textId="1F750D16" w:rsidR="00DC33E1" w:rsidRDefault="00DC33E1" w:rsidP="00E26377">
      <w:r>
        <w:t>I</w:t>
      </w:r>
      <w:r w:rsidRPr="00DC33E1">
        <w:t>n response to comments from some submitters</w:t>
      </w:r>
      <w:r>
        <w:t xml:space="preserve">, and as </w:t>
      </w:r>
      <w:r w:rsidR="00E97E78" w:rsidRPr="00DC33E1">
        <w:t>further background,</w:t>
      </w:r>
      <w:r w:rsidRPr="00DC33E1">
        <w:t xml:space="preserve"> FSANZ has provided information ab</w:t>
      </w:r>
      <w:r w:rsidR="00E97E78" w:rsidRPr="00DC33E1">
        <w:t>out</w:t>
      </w:r>
      <w:r w:rsidRPr="00DC33E1">
        <w:t>:</w:t>
      </w:r>
    </w:p>
    <w:p w14:paraId="41F2E7FD" w14:textId="77777777" w:rsidR="00604C3A" w:rsidRPr="00DC33E1" w:rsidRDefault="00604C3A" w:rsidP="00E26377"/>
    <w:p w14:paraId="5EE5947B" w14:textId="0A2BB2A8" w:rsidR="00DC33E1" w:rsidRPr="00DC33E1" w:rsidRDefault="00E97E78" w:rsidP="00DC33E1">
      <w:pPr>
        <w:pStyle w:val="FSBullet1"/>
      </w:pPr>
      <w:r w:rsidRPr="00DC33E1">
        <w:t>the reasons for using irradiation as a treatment for food</w:t>
      </w:r>
    </w:p>
    <w:p w14:paraId="246794E7" w14:textId="77777777" w:rsidR="00DC33E1" w:rsidRPr="00DC33E1" w:rsidRDefault="00DC33E1" w:rsidP="00DC33E1">
      <w:pPr>
        <w:pStyle w:val="FSBullet1"/>
      </w:pPr>
      <w:r w:rsidRPr="00DC33E1">
        <w:t>the foods permitted to be treated with irradiation in Australia and New Zealand, and which of these reasons apply to them</w:t>
      </w:r>
    </w:p>
    <w:p w14:paraId="380A164D" w14:textId="77777777" w:rsidR="00016721" w:rsidRDefault="00E97E78" w:rsidP="00DC33E1">
      <w:pPr>
        <w:pStyle w:val="FSBullet1"/>
      </w:pPr>
      <w:r w:rsidRPr="00DC33E1">
        <w:t>the alternatives to irradiation for fresh produce</w:t>
      </w:r>
    </w:p>
    <w:p w14:paraId="77D0CD61" w14:textId="7BB70DBB" w:rsidR="00DC33E1" w:rsidRPr="00DC33E1" w:rsidRDefault="00016721" w:rsidP="00DC33E1">
      <w:pPr>
        <w:pStyle w:val="FSBullet1"/>
      </w:pPr>
      <w:r>
        <w:t>how food is irradiated</w:t>
      </w:r>
    </w:p>
    <w:p w14:paraId="431771A9" w14:textId="2063F34F" w:rsidR="00E97E78" w:rsidRPr="00DC33E1" w:rsidRDefault="00DC33E1" w:rsidP="00DC33E1">
      <w:pPr>
        <w:pStyle w:val="FSBullet1"/>
      </w:pPr>
      <w:proofErr w:type="gramStart"/>
      <w:r w:rsidRPr="00DC33E1">
        <w:t>the</w:t>
      </w:r>
      <w:proofErr w:type="gramEnd"/>
      <w:r w:rsidRPr="00DC33E1">
        <w:t xml:space="preserve"> safety and nutritional adequacy of irradiated food. </w:t>
      </w:r>
    </w:p>
    <w:p w14:paraId="19D88E76" w14:textId="77777777" w:rsidR="007006F6" w:rsidRDefault="007006F6">
      <w:pPr>
        <w:widowControl/>
        <w:sectPr w:rsidR="007006F6" w:rsidSect="008E233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pPr>
    </w:p>
    <w:p w14:paraId="44EF8972" w14:textId="1C2658E0" w:rsidR="00F51D3A" w:rsidRDefault="00F51D3A" w:rsidP="00F51D3A">
      <w:pPr>
        <w:shd w:val="clear" w:color="auto" w:fill="FFFFFF"/>
        <w:jc w:val="center"/>
        <w:rPr>
          <w:b/>
          <w:sz w:val="32"/>
          <w:szCs w:val="32"/>
        </w:rPr>
      </w:pPr>
      <w:r w:rsidRPr="00F06857">
        <w:rPr>
          <w:b/>
          <w:sz w:val="32"/>
          <w:szCs w:val="32"/>
        </w:rPr>
        <w:lastRenderedPageBreak/>
        <w:t>Table of Contents</w:t>
      </w:r>
    </w:p>
    <w:p w14:paraId="29E4A0EB" w14:textId="77777777" w:rsidR="008F1A07" w:rsidRPr="00F06857" w:rsidRDefault="008F1A07" w:rsidP="00F51D3A">
      <w:pPr>
        <w:shd w:val="clear" w:color="auto" w:fill="FFFFFF"/>
        <w:jc w:val="center"/>
        <w:rPr>
          <w:b/>
          <w:sz w:val="32"/>
          <w:szCs w:val="32"/>
        </w:rPr>
      </w:pPr>
    </w:p>
    <w:p w14:paraId="63A1DAAD" w14:textId="77777777" w:rsidR="00FE3D34" w:rsidRDefault="002E3A87">
      <w:pPr>
        <w:pStyle w:val="TOC2"/>
        <w:rPr>
          <w:rFonts w:asciiTheme="minorHAnsi" w:eastAsiaTheme="minorEastAsia" w:hAnsiTheme="minorHAnsi" w:cstheme="minorBidi"/>
          <w:smallCaps w:val="0"/>
          <w:noProof/>
          <w:szCs w:val="22"/>
          <w:lang w:val="en-NZ" w:eastAsia="en-NZ" w:bidi="ar-SA"/>
        </w:rPr>
      </w:pPr>
      <w:r>
        <w:rPr>
          <w:smallCaps w:val="0"/>
        </w:rPr>
        <w:fldChar w:fldCharType="begin"/>
      </w:r>
      <w:r>
        <w:instrText xml:space="preserve"> TOC \o "1-3" \h \z \u </w:instrText>
      </w:r>
      <w:r>
        <w:rPr>
          <w:smallCaps w:val="0"/>
        </w:rPr>
        <w:fldChar w:fldCharType="separate"/>
      </w:r>
      <w:hyperlink w:anchor="_Toc467141077" w:history="1">
        <w:r w:rsidR="00FE3D34" w:rsidRPr="007D412F">
          <w:rPr>
            <w:rStyle w:val="Hyperlink"/>
            <w:noProof/>
          </w:rPr>
          <w:t>1</w:t>
        </w:r>
        <w:r w:rsidR="00FE3D34">
          <w:rPr>
            <w:rFonts w:asciiTheme="minorHAnsi" w:eastAsiaTheme="minorEastAsia" w:hAnsiTheme="minorHAnsi" w:cstheme="minorBidi"/>
            <w:smallCaps w:val="0"/>
            <w:noProof/>
            <w:szCs w:val="22"/>
            <w:lang w:val="en-NZ" w:eastAsia="en-NZ" w:bidi="ar-SA"/>
          </w:rPr>
          <w:tab/>
        </w:r>
        <w:r w:rsidR="00FE3D34" w:rsidRPr="007D412F">
          <w:rPr>
            <w:rStyle w:val="Hyperlink"/>
            <w:noProof/>
          </w:rPr>
          <w:t>Current Australian and New Zealand domestic markets for irradiated produce</w:t>
        </w:r>
        <w:r w:rsidR="00FE3D34">
          <w:rPr>
            <w:noProof/>
            <w:webHidden/>
          </w:rPr>
          <w:tab/>
        </w:r>
        <w:r w:rsidR="00FE3D34">
          <w:rPr>
            <w:noProof/>
            <w:webHidden/>
          </w:rPr>
          <w:fldChar w:fldCharType="begin"/>
        </w:r>
        <w:r w:rsidR="00FE3D34">
          <w:rPr>
            <w:noProof/>
            <w:webHidden/>
          </w:rPr>
          <w:instrText xml:space="preserve"> PAGEREF _Toc467141077 \h </w:instrText>
        </w:r>
        <w:r w:rsidR="00FE3D34">
          <w:rPr>
            <w:noProof/>
            <w:webHidden/>
          </w:rPr>
        </w:r>
        <w:r w:rsidR="00FE3D34">
          <w:rPr>
            <w:noProof/>
            <w:webHidden/>
          </w:rPr>
          <w:fldChar w:fldCharType="separate"/>
        </w:r>
        <w:r w:rsidR="00FE3D34">
          <w:rPr>
            <w:noProof/>
            <w:webHidden/>
          </w:rPr>
          <w:t>2</w:t>
        </w:r>
        <w:r w:rsidR="00FE3D34">
          <w:rPr>
            <w:noProof/>
            <w:webHidden/>
          </w:rPr>
          <w:fldChar w:fldCharType="end"/>
        </w:r>
      </w:hyperlink>
    </w:p>
    <w:p w14:paraId="534EFE61" w14:textId="77777777" w:rsidR="00FE3D34" w:rsidRDefault="001F5681">
      <w:pPr>
        <w:pStyle w:val="TOC3"/>
        <w:rPr>
          <w:rFonts w:asciiTheme="minorHAnsi" w:eastAsiaTheme="minorEastAsia" w:hAnsiTheme="minorHAnsi" w:cstheme="minorBidi"/>
          <w:noProof/>
          <w:sz w:val="22"/>
          <w:szCs w:val="22"/>
          <w:lang w:val="en-NZ" w:eastAsia="en-NZ" w:bidi="ar-SA"/>
        </w:rPr>
      </w:pPr>
      <w:hyperlink w:anchor="_Toc467141078" w:history="1">
        <w:r w:rsidR="00FE3D34" w:rsidRPr="007D412F">
          <w:rPr>
            <w:rStyle w:val="Hyperlink"/>
            <w:noProof/>
          </w:rPr>
          <w:t>1.1</w:t>
        </w:r>
        <w:r w:rsidR="00FE3D34">
          <w:rPr>
            <w:rFonts w:asciiTheme="minorHAnsi" w:eastAsiaTheme="minorEastAsia" w:hAnsiTheme="minorHAnsi" w:cstheme="minorBidi"/>
            <w:noProof/>
            <w:sz w:val="22"/>
            <w:szCs w:val="22"/>
            <w:lang w:val="en-NZ" w:eastAsia="en-NZ" w:bidi="ar-SA"/>
          </w:rPr>
          <w:tab/>
        </w:r>
        <w:r w:rsidR="00FE3D34" w:rsidRPr="007D412F">
          <w:rPr>
            <w:rStyle w:val="Hyperlink"/>
            <w:noProof/>
          </w:rPr>
          <w:t>Australian domestic market</w:t>
        </w:r>
        <w:r w:rsidR="00FE3D34">
          <w:rPr>
            <w:noProof/>
            <w:webHidden/>
          </w:rPr>
          <w:tab/>
        </w:r>
        <w:r w:rsidR="00FE3D34">
          <w:rPr>
            <w:noProof/>
            <w:webHidden/>
          </w:rPr>
          <w:fldChar w:fldCharType="begin"/>
        </w:r>
        <w:r w:rsidR="00FE3D34">
          <w:rPr>
            <w:noProof/>
            <w:webHidden/>
          </w:rPr>
          <w:instrText xml:space="preserve"> PAGEREF _Toc467141078 \h </w:instrText>
        </w:r>
        <w:r w:rsidR="00FE3D34">
          <w:rPr>
            <w:noProof/>
            <w:webHidden/>
          </w:rPr>
        </w:r>
        <w:r w:rsidR="00FE3D34">
          <w:rPr>
            <w:noProof/>
            <w:webHidden/>
          </w:rPr>
          <w:fldChar w:fldCharType="separate"/>
        </w:r>
        <w:r w:rsidR="00FE3D34">
          <w:rPr>
            <w:noProof/>
            <w:webHidden/>
          </w:rPr>
          <w:t>2</w:t>
        </w:r>
        <w:r w:rsidR="00FE3D34">
          <w:rPr>
            <w:noProof/>
            <w:webHidden/>
          </w:rPr>
          <w:fldChar w:fldCharType="end"/>
        </w:r>
      </w:hyperlink>
    </w:p>
    <w:p w14:paraId="1881BFC9" w14:textId="77777777" w:rsidR="00FE3D34" w:rsidRDefault="001F5681">
      <w:pPr>
        <w:pStyle w:val="TOC3"/>
        <w:rPr>
          <w:rFonts w:asciiTheme="minorHAnsi" w:eastAsiaTheme="minorEastAsia" w:hAnsiTheme="minorHAnsi" w:cstheme="minorBidi"/>
          <w:noProof/>
          <w:sz w:val="22"/>
          <w:szCs w:val="22"/>
          <w:lang w:val="en-NZ" w:eastAsia="en-NZ" w:bidi="ar-SA"/>
        </w:rPr>
      </w:pPr>
      <w:hyperlink w:anchor="_Toc467141079" w:history="1">
        <w:r w:rsidR="00FE3D34" w:rsidRPr="007D412F">
          <w:rPr>
            <w:rStyle w:val="Hyperlink"/>
            <w:noProof/>
          </w:rPr>
          <w:t>1.2</w:t>
        </w:r>
        <w:r w:rsidR="00FE3D34">
          <w:rPr>
            <w:rFonts w:asciiTheme="minorHAnsi" w:eastAsiaTheme="minorEastAsia" w:hAnsiTheme="minorHAnsi" w:cstheme="minorBidi"/>
            <w:noProof/>
            <w:sz w:val="22"/>
            <w:szCs w:val="22"/>
            <w:lang w:val="en-NZ" w:eastAsia="en-NZ" w:bidi="ar-SA"/>
          </w:rPr>
          <w:tab/>
        </w:r>
        <w:r w:rsidR="00FE3D34" w:rsidRPr="007D412F">
          <w:rPr>
            <w:rStyle w:val="Hyperlink"/>
            <w:noProof/>
          </w:rPr>
          <w:t>New Zealand domestic market</w:t>
        </w:r>
        <w:r w:rsidR="00FE3D34">
          <w:rPr>
            <w:noProof/>
            <w:webHidden/>
          </w:rPr>
          <w:tab/>
        </w:r>
        <w:r w:rsidR="00FE3D34">
          <w:rPr>
            <w:noProof/>
            <w:webHidden/>
          </w:rPr>
          <w:fldChar w:fldCharType="begin"/>
        </w:r>
        <w:r w:rsidR="00FE3D34">
          <w:rPr>
            <w:noProof/>
            <w:webHidden/>
          </w:rPr>
          <w:instrText xml:space="preserve"> PAGEREF _Toc467141079 \h </w:instrText>
        </w:r>
        <w:r w:rsidR="00FE3D34">
          <w:rPr>
            <w:noProof/>
            <w:webHidden/>
          </w:rPr>
        </w:r>
        <w:r w:rsidR="00FE3D34">
          <w:rPr>
            <w:noProof/>
            <w:webHidden/>
          </w:rPr>
          <w:fldChar w:fldCharType="separate"/>
        </w:r>
        <w:r w:rsidR="00FE3D34">
          <w:rPr>
            <w:noProof/>
            <w:webHidden/>
          </w:rPr>
          <w:t>3</w:t>
        </w:r>
        <w:r w:rsidR="00FE3D34">
          <w:rPr>
            <w:noProof/>
            <w:webHidden/>
          </w:rPr>
          <w:fldChar w:fldCharType="end"/>
        </w:r>
      </w:hyperlink>
    </w:p>
    <w:p w14:paraId="44A72EC0" w14:textId="77777777" w:rsidR="00FE3D34" w:rsidRDefault="001F5681">
      <w:pPr>
        <w:pStyle w:val="TOC2"/>
        <w:rPr>
          <w:rFonts w:asciiTheme="minorHAnsi" w:eastAsiaTheme="minorEastAsia" w:hAnsiTheme="minorHAnsi" w:cstheme="minorBidi"/>
          <w:smallCaps w:val="0"/>
          <w:noProof/>
          <w:szCs w:val="22"/>
          <w:lang w:val="en-NZ" w:eastAsia="en-NZ" w:bidi="ar-SA"/>
        </w:rPr>
      </w:pPr>
      <w:hyperlink w:anchor="_Toc467141080" w:history="1">
        <w:r w:rsidR="00FE3D34" w:rsidRPr="007D412F">
          <w:rPr>
            <w:rStyle w:val="Hyperlink"/>
            <w:noProof/>
          </w:rPr>
          <w:t>2</w:t>
        </w:r>
        <w:r w:rsidR="00FE3D34">
          <w:rPr>
            <w:rFonts w:asciiTheme="minorHAnsi" w:eastAsiaTheme="minorEastAsia" w:hAnsiTheme="minorHAnsi" w:cstheme="minorBidi"/>
            <w:smallCaps w:val="0"/>
            <w:noProof/>
            <w:szCs w:val="22"/>
            <w:lang w:val="en-NZ" w:eastAsia="en-NZ" w:bidi="ar-SA"/>
          </w:rPr>
          <w:tab/>
        </w:r>
        <w:r w:rsidR="00FE3D34" w:rsidRPr="007D412F">
          <w:rPr>
            <w:rStyle w:val="Hyperlink"/>
            <w:noProof/>
          </w:rPr>
          <w:t>Reasons for using irradiation as a treatment for food</w:t>
        </w:r>
        <w:r w:rsidR="00FE3D34">
          <w:rPr>
            <w:noProof/>
            <w:webHidden/>
          </w:rPr>
          <w:tab/>
        </w:r>
        <w:r w:rsidR="00FE3D34">
          <w:rPr>
            <w:noProof/>
            <w:webHidden/>
          </w:rPr>
          <w:fldChar w:fldCharType="begin"/>
        </w:r>
        <w:r w:rsidR="00FE3D34">
          <w:rPr>
            <w:noProof/>
            <w:webHidden/>
          </w:rPr>
          <w:instrText xml:space="preserve"> PAGEREF _Toc467141080 \h </w:instrText>
        </w:r>
        <w:r w:rsidR="00FE3D34">
          <w:rPr>
            <w:noProof/>
            <w:webHidden/>
          </w:rPr>
        </w:r>
        <w:r w:rsidR="00FE3D34">
          <w:rPr>
            <w:noProof/>
            <w:webHidden/>
          </w:rPr>
          <w:fldChar w:fldCharType="separate"/>
        </w:r>
        <w:r w:rsidR="00FE3D34">
          <w:rPr>
            <w:noProof/>
            <w:webHidden/>
          </w:rPr>
          <w:t>6</w:t>
        </w:r>
        <w:r w:rsidR="00FE3D34">
          <w:rPr>
            <w:noProof/>
            <w:webHidden/>
          </w:rPr>
          <w:fldChar w:fldCharType="end"/>
        </w:r>
      </w:hyperlink>
    </w:p>
    <w:p w14:paraId="5CB96672" w14:textId="77777777" w:rsidR="00FE3D34" w:rsidRDefault="001F5681">
      <w:pPr>
        <w:pStyle w:val="TOC2"/>
        <w:rPr>
          <w:rFonts w:asciiTheme="minorHAnsi" w:eastAsiaTheme="minorEastAsia" w:hAnsiTheme="minorHAnsi" w:cstheme="minorBidi"/>
          <w:smallCaps w:val="0"/>
          <w:noProof/>
          <w:szCs w:val="22"/>
          <w:lang w:val="en-NZ" w:eastAsia="en-NZ" w:bidi="ar-SA"/>
        </w:rPr>
      </w:pPr>
      <w:hyperlink w:anchor="_Toc467141081" w:history="1">
        <w:r w:rsidR="00FE3D34" w:rsidRPr="007D412F">
          <w:rPr>
            <w:rStyle w:val="Hyperlink"/>
            <w:noProof/>
          </w:rPr>
          <w:t>3</w:t>
        </w:r>
        <w:r w:rsidR="00FE3D34">
          <w:rPr>
            <w:rFonts w:asciiTheme="minorHAnsi" w:eastAsiaTheme="minorEastAsia" w:hAnsiTheme="minorHAnsi" w:cstheme="minorBidi"/>
            <w:smallCaps w:val="0"/>
            <w:noProof/>
            <w:szCs w:val="22"/>
            <w:lang w:val="en-NZ" w:eastAsia="en-NZ" w:bidi="ar-SA"/>
          </w:rPr>
          <w:tab/>
        </w:r>
        <w:r w:rsidR="00FE3D34" w:rsidRPr="007D412F">
          <w:rPr>
            <w:rStyle w:val="Hyperlink"/>
            <w:noProof/>
          </w:rPr>
          <w:t>Permissions for and purpose of irradiating food in Australia and New Zealand</w:t>
        </w:r>
        <w:r w:rsidR="00FE3D34">
          <w:rPr>
            <w:noProof/>
            <w:webHidden/>
          </w:rPr>
          <w:tab/>
        </w:r>
        <w:r w:rsidR="00FE3D34">
          <w:rPr>
            <w:noProof/>
            <w:webHidden/>
          </w:rPr>
          <w:fldChar w:fldCharType="begin"/>
        </w:r>
        <w:r w:rsidR="00FE3D34">
          <w:rPr>
            <w:noProof/>
            <w:webHidden/>
          </w:rPr>
          <w:instrText xml:space="preserve"> PAGEREF _Toc467141081 \h </w:instrText>
        </w:r>
        <w:r w:rsidR="00FE3D34">
          <w:rPr>
            <w:noProof/>
            <w:webHidden/>
          </w:rPr>
        </w:r>
        <w:r w:rsidR="00FE3D34">
          <w:rPr>
            <w:noProof/>
            <w:webHidden/>
          </w:rPr>
          <w:fldChar w:fldCharType="separate"/>
        </w:r>
        <w:r w:rsidR="00FE3D34">
          <w:rPr>
            <w:noProof/>
            <w:webHidden/>
          </w:rPr>
          <w:t>6</w:t>
        </w:r>
        <w:r w:rsidR="00FE3D34">
          <w:rPr>
            <w:noProof/>
            <w:webHidden/>
          </w:rPr>
          <w:fldChar w:fldCharType="end"/>
        </w:r>
      </w:hyperlink>
    </w:p>
    <w:p w14:paraId="4F9C166E" w14:textId="77777777" w:rsidR="00FE3D34" w:rsidRDefault="001F5681">
      <w:pPr>
        <w:pStyle w:val="TOC2"/>
        <w:rPr>
          <w:rFonts w:asciiTheme="minorHAnsi" w:eastAsiaTheme="minorEastAsia" w:hAnsiTheme="minorHAnsi" w:cstheme="minorBidi"/>
          <w:smallCaps w:val="0"/>
          <w:noProof/>
          <w:szCs w:val="22"/>
          <w:lang w:val="en-NZ" w:eastAsia="en-NZ" w:bidi="ar-SA"/>
        </w:rPr>
      </w:pPr>
      <w:hyperlink w:anchor="_Toc467141082" w:history="1">
        <w:r w:rsidR="00FE3D34" w:rsidRPr="007D412F">
          <w:rPr>
            <w:rStyle w:val="Hyperlink"/>
            <w:noProof/>
          </w:rPr>
          <w:t>4</w:t>
        </w:r>
        <w:r w:rsidR="00FE3D34">
          <w:rPr>
            <w:rFonts w:asciiTheme="minorHAnsi" w:eastAsiaTheme="minorEastAsia" w:hAnsiTheme="minorHAnsi" w:cstheme="minorBidi"/>
            <w:smallCaps w:val="0"/>
            <w:noProof/>
            <w:szCs w:val="22"/>
            <w:lang w:val="en-NZ" w:eastAsia="en-NZ" w:bidi="ar-SA"/>
          </w:rPr>
          <w:tab/>
        </w:r>
        <w:r w:rsidR="00FE3D34" w:rsidRPr="007D412F">
          <w:rPr>
            <w:rStyle w:val="Hyperlink"/>
            <w:noProof/>
          </w:rPr>
          <w:t>Alternatives to irradiation for fresh produce</w:t>
        </w:r>
        <w:r w:rsidR="00FE3D34">
          <w:rPr>
            <w:noProof/>
            <w:webHidden/>
          </w:rPr>
          <w:tab/>
        </w:r>
        <w:r w:rsidR="00FE3D34">
          <w:rPr>
            <w:noProof/>
            <w:webHidden/>
          </w:rPr>
          <w:fldChar w:fldCharType="begin"/>
        </w:r>
        <w:r w:rsidR="00FE3D34">
          <w:rPr>
            <w:noProof/>
            <w:webHidden/>
          </w:rPr>
          <w:instrText xml:space="preserve"> PAGEREF _Toc467141082 \h </w:instrText>
        </w:r>
        <w:r w:rsidR="00FE3D34">
          <w:rPr>
            <w:noProof/>
            <w:webHidden/>
          </w:rPr>
        </w:r>
        <w:r w:rsidR="00FE3D34">
          <w:rPr>
            <w:noProof/>
            <w:webHidden/>
          </w:rPr>
          <w:fldChar w:fldCharType="separate"/>
        </w:r>
        <w:r w:rsidR="00FE3D34">
          <w:rPr>
            <w:noProof/>
            <w:webHidden/>
          </w:rPr>
          <w:t>8</w:t>
        </w:r>
        <w:r w:rsidR="00FE3D34">
          <w:rPr>
            <w:noProof/>
            <w:webHidden/>
          </w:rPr>
          <w:fldChar w:fldCharType="end"/>
        </w:r>
      </w:hyperlink>
    </w:p>
    <w:p w14:paraId="32154CD5" w14:textId="77777777" w:rsidR="00FE3D34" w:rsidRDefault="001F5681">
      <w:pPr>
        <w:pStyle w:val="TOC2"/>
        <w:rPr>
          <w:rFonts w:asciiTheme="minorHAnsi" w:eastAsiaTheme="minorEastAsia" w:hAnsiTheme="minorHAnsi" w:cstheme="minorBidi"/>
          <w:smallCaps w:val="0"/>
          <w:noProof/>
          <w:szCs w:val="22"/>
          <w:lang w:val="en-NZ" w:eastAsia="en-NZ" w:bidi="ar-SA"/>
        </w:rPr>
      </w:pPr>
      <w:hyperlink w:anchor="_Toc467141083" w:history="1">
        <w:r w:rsidR="00FE3D34" w:rsidRPr="007D412F">
          <w:rPr>
            <w:rStyle w:val="Hyperlink"/>
            <w:noProof/>
          </w:rPr>
          <w:t>5</w:t>
        </w:r>
        <w:r w:rsidR="00FE3D34">
          <w:rPr>
            <w:rFonts w:asciiTheme="minorHAnsi" w:eastAsiaTheme="minorEastAsia" w:hAnsiTheme="minorHAnsi" w:cstheme="minorBidi"/>
            <w:smallCaps w:val="0"/>
            <w:noProof/>
            <w:szCs w:val="22"/>
            <w:lang w:val="en-NZ" w:eastAsia="en-NZ" w:bidi="ar-SA"/>
          </w:rPr>
          <w:tab/>
        </w:r>
        <w:r w:rsidR="00FE3D34" w:rsidRPr="007D412F">
          <w:rPr>
            <w:rStyle w:val="Hyperlink"/>
            <w:noProof/>
          </w:rPr>
          <w:t>How food is irradiated</w:t>
        </w:r>
        <w:r w:rsidR="00FE3D34">
          <w:rPr>
            <w:noProof/>
            <w:webHidden/>
          </w:rPr>
          <w:tab/>
        </w:r>
        <w:r w:rsidR="00FE3D34">
          <w:rPr>
            <w:noProof/>
            <w:webHidden/>
          </w:rPr>
          <w:fldChar w:fldCharType="begin"/>
        </w:r>
        <w:r w:rsidR="00FE3D34">
          <w:rPr>
            <w:noProof/>
            <w:webHidden/>
          </w:rPr>
          <w:instrText xml:space="preserve"> PAGEREF _Toc467141083 \h </w:instrText>
        </w:r>
        <w:r w:rsidR="00FE3D34">
          <w:rPr>
            <w:noProof/>
            <w:webHidden/>
          </w:rPr>
        </w:r>
        <w:r w:rsidR="00FE3D34">
          <w:rPr>
            <w:noProof/>
            <w:webHidden/>
          </w:rPr>
          <w:fldChar w:fldCharType="separate"/>
        </w:r>
        <w:r w:rsidR="00FE3D34">
          <w:rPr>
            <w:noProof/>
            <w:webHidden/>
          </w:rPr>
          <w:t>8</w:t>
        </w:r>
        <w:r w:rsidR="00FE3D34">
          <w:rPr>
            <w:noProof/>
            <w:webHidden/>
          </w:rPr>
          <w:fldChar w:fldCharType="end"/>
        </w:r>
      </w:hyperlink>
    </w:p>
    <w:p w14:paraId="76315D2B" w14:textId="77777777" w:rsidR="00FE3D34" w:rsidRDefault="001F5681">
      <w:pPr>
        <w:pStyle w:val="TOC2"/>
        <w:rPr>
          <w:rFonts w:asciiTheme="minorHAnsi" w:eastAsiaTheme="minorEastAsia" w:hAnsiTheme="minorHAnsi" w:cstheme="minorBidi"/>
          <w:smallCaps w:val="0"/>
          <w:noProof/>
          <w:szCs w:val="22"/>
          <w:lang w:val="en-NZ" w:eastAsia="en-NZ" w:bidi="ar-SA"/>
        </w:rPr>
      </w:pPr>
      <w:hyperlink w:anchor="_Toc467141084" w:history="1">
        <w:r w:rsidR="00FE3D34" w:rsidRPr="007D412F">
          <w:rPr>
            <w:rStyle w:val="Hyperlink"/>
            <w:noProof/>
          </w:rPr>
          <w:t>6</w:t>
        </w:r>
        <w:r w:rsidR="00FE3D34">
          <w:rPr>
            <w:rFonts w:asciiTheme="minorHAnsi" w:eastAsiaTheme="minorEastAsia" w:hAnsiTheme="minorHAnsi" w:cstheme="minorBidi"/>
            <w:smallCaps w:val="0"/>
            <w:noProof/>
            <w:szCs w:val="22"/>
            <w:lang w:val="en-NZ" w:eastAsia="en-NZ" w:bidi="ar-SA"/>
          </w:rPr>
          <w:tab/>
        </w:r>
        <w:r w:rsidR="00FE3D34" w:rsidRPr="007D412F">
          <w:rPr>
            <w:rStyle w:val="Hyperlink"/>
            <w:noProof/>
          </w:rPr>
          <w:t>Safety of irradiated food</w:t>
        </w:r>
        <w:r w:rsidR="00FE3D34">
          <w:rPr>
            <w:noProof/>
            <w:webHidden/>
          </w:rPr>
          <w:tab/>
        </w:r>
        <w:r w:rsidR="00FE3D34">
          <w:rPr>
            <w:noProof/>
            <w:webHidden/>
          </w:rPr>
          <w:fldChar w:fldCharType="begin"/>
        </w:r>
        <w:r w:rsidR="00FE3D34">
          <w:rPr>
            <w:noProof/>
            <w:webHidden/>
          </w:rPr>
          <w:instrText xml:space="preserve"> PAGEREF _Toc467141084 \h </w:instrText>
        </w:r>
        <w:r w:rsidR="00FE3D34">
          <w:rPr>
            <w:noProof/>
            <w:webHidden/>
          </w:rPr>
        </w:r>
        <w:r w:rsidR="00FE3D34">
          <w:rPr>
            <w:noProof/>
            <w:webHidden/>
          </w:rPr>
          <w:fldChar w:fldCharType="separate"/>
        </w:r>
        <w:r w:rsidR="00FE3D34">
          <w:rPr>
            <w:noProof/>
            <w:webHidden/>
          </w:rPr>
          <w:t>9</w:t>
        </w:r>
        <w:r w:rsidR="00FE3D34">
          <w:rPr>
            <w:noProof/>
            <w:webHidden/>
          </w:rPr>
          <w:fldChar w:fldCharType="end"/>
        </w:r>
      </w:hyperlink>
    </w:p>
    <w:p w14:paraId="5ED039FF" w14:textId="77777777" w:rsidR="00FE3D34" w:rsidRDefault="001F5681">
      <w:pPr>
        <w:pStyle w:val="TOC3"/>
        <w:rPr>
          <w:rFonts w:asciiTheme="minorHAnsi" w:eastAsiaTheme="minorEastAsia" w:hAnsiTheme="minorHAnsi" w:cstheme="minorBidi"/>
          <w:noProof/>
          <w:sz w:val="22"/>
          <w:szCs w:val="22"/>
          <w:lang w:val="en-NZ" w:eastAsia="en-NZ" w:bidi="ar-SA"/>
        </w:rPr>
      </w:pPr>
      <w:hyperlink w:anchor="_Toc467141085" w:history="1">
        <w:r w:rsidR="00FE3D34" w:rsidRPr="007D412F">
          <w:rPr>
            <w:rStyle w:val="Hyperlink"/>
            <w:noProof/>
          </w:rPr>
          <w:t>6.1</w:t>
        </w:r>
        <w:r w:rsidR="00FE3D34">
          <w:rPr>
            <w:rFonts w:asciiTheme="minorHAnsi" w:eastAsiaTheme="minorEastAsia" w:hAnsiTheme="minorHAnsi" w:cstheme="minorBidi"/>
            <w:noProof/>
            <w:sz w:val="22"/>
            <w:szCs w:val="22"/>
            <w:lang w:val="en-NZ" w:eastAsia="en-NZ" w:bidi="ar-SA"/>
          </w:rPr>
          <w:tab/>
        </w:r>
        <w:r w:rsidR="00FE3D34" w:rsidRPr="007D412F">
          <w:rPr>
            <w:rStyle w:val="Hyperlink"/>
            <w:noProof/>
          </w:rPr>
          <w:t>Key studies on the safety of irradiated foods</w:t>
        </w:r>
        <w:r w:rsidR="00FE3D34">
          <w:rPr>
            <w:noProof/>
            <w:webHidden/>
          </w:rPr>
          <w:tab/>
        </w:r>
        <w:r w:rsidR="00FE3D34">
          <w:rPr>
            <w:noProof/>
            <w:webHidden/>
          </w:rPr>
          <w:fldChar w:fldCharType="begin"/>
        </w:r>
        <w:r w:rsidR="00FE3D34">
          <w:rPr>
            <w:noProof/>
            <w:webHidden/>
          </w:rPr>
          <w:instrText xml:space="preserve"> PAGEREF _Toc467141085 \h </w:instrText>
        </w:r>
        <w:r w:rsidR="00FE3D34">
          <w:rPr>
            <w:noProof/>
            <w:webHidden/>
          </w:rPr>
        </w:r>
        <w:r w:rsidR="00FE3D34">
          <w:rPr>
            <w:noProof/>
            <w:webHidden/>
          </w:rPr>
          <w:fldChar w:fldCharType="separate"/>
        </w:r>
        <w:r w:rsidR="00FE3D34">
          <w:rPr>
            <w:noProof/>
            <w:webHidden/>
          </w:rPr>
          <w:t>10</w:t>
        </w:r>
        <w:r w:rsidR="00FE3D34">
          <w:rPr>
            <w:noProof/>
            <w:webHidden/>
          </w:rPr>
          <w:fldChar w:fldCharType="end"/>
        </w:r>
      </w:hyperlink>
    </w:p>
    <w:p w14:paraId="754DE3BE" w14:textId="77777777" w:rsidR="00FE3D34" w:rsidRDefault="001F5681">
      <w:pPr>
        <w:pStyle w:val="TOC3"/>
        <w:rPr>
          <w:rFonts w:asciiTheme="minorHAnsi" w:eastAsiaTheme="minorEastAsia" w:hAnsiTheme="minorHAnsi" w:cstheme="minorBidi"/>
          <w:noProof/>
          <w:sz w:val="22"/>
          <w:szCs w:val="22"/>
          <w:lang w:val="en-NZ" w:eastAsia="en-NZ" w:bidi="ar-SA"/>
        </w:rPr>
      </w:pPr>
      <w:hyperlink w:anchor="_Toc467141086" w:history="1">
        <w:r w:rsidR="00FE3D34" w:rsidRPr="007D412F">
          <w:rPr>
            <w:rStyle w:val="Hyperlink"/>
            <w:noProof/>
          </w:rPr>
          <w:t>6.2</w:t>
        </w:r>
        <w:r w:rsidR="00FE3D34">
          <w:rPr>
            <w:rFonts w:asciiTheme="minorHAnsi" w:eastAsiaTheme="minorEastAsia" w:hAnsiTheme="minorHAnsi" w:cstheme="minorBidi"/>
            <w:noProof/>
            <w:sz w:val="22"/>
            <w:szCs w:val="22"/>
            <w:lang w:val="en-NZ" w:eastAsia="en-NZ" w:bidi="ar-SA"/>
          </w:rPr>
          <w:tab/>
        </w:r>
        <w:r w:rsidR="00FE3D34" w:rsidRPr="007D412F">
          <w:rPr>
            <w:rStyle w:val="Hyperlink"/>
            <w:noProof/>
          </w:rPr>
          <w:t>Compounds generated following the irradiation of food</w:t>
        </w:r>
        <w:r w:rsidR="00FE3D34">
          <w:rPr>
            <w:noProof/>
            <w:webHidden/>
          </w:rPr>
          <w:tab/>
        </w:r>
        <w:r w:rsidR="00FE3D34">
          <w:rPr>
            <w:noProof/>
            <w:webHidden/>
          </w:rPr>
          <w:fldChar w:fldCharType="begin"/>
        </w:r>
        <w:r w:rsidR="00FE3D34">
          <w:rPr>
            <w:noProof/>
            <w:webHidden/>
          </w:rPr>
          <w:instrText xml:space="preserve"> PAGEREF _Toc467141086 \h </w:instrText>
        </w:r>
        <w:r w:rsidR="00FE3D34">
          <w:rPr>
            <w:noProof/>
            <w:webHidden/>
          </w:rPr>
        </w:r>
        <w:r w:rsidR="00FE3D34">
          <w:rPr>
            <w:noProof/>
            <w:webHidden/>
          </w:rPr>
          <w:fldChar w:fldCharType="separate"/>
        </w:r>
        <w:r w:rsidR="00FE3D34">
          <w:rPr>
            <w:noProof/>
            <w:webHidden/>
          </w:rPr>
          <w:t>10</w:t>
        </w:r>
        <w:r w:rsidR="00FE3D34">
          <w:rPr>
            <w:noProof/>
            <w:webHidden/>
          </w:rPr>
          <w:fldChar w:fldCharType="end"/>
        </w:r>
      </w:hyperlink>
    </w:p>
    <w:p w14:paraId="4826F6BF" w14:textId="77777777" w:rsidR="00FE3D34" w:rsidRDefault="001F5681">
      <w:pPr>
        <w:pStyle w:val="TOC3"/>
        <w:rPr>
          <w:rFonts w:asciiTheme="minorHAnsi" w:eastAsiaTheme="minorEastAsia" w:hAnsiTheme="minorHAnsi" w:cstheme="minorBidi"/>
          <w:noProof/>
          <w:sz w:val="22"/>
          <w:szCs w:val="22"/>
          <w:lang w:val="en-NZ" w:eastAsia="en-NZ" w:bidi="ar-SA"/>
        </w:rPr>
      </w:pPr>
      <w:hyperlink w:anchor="_Toc467141087" w:history="1">
        <w:r w:rsidR="00FE3D34" w:rsidRPr="007D412F">
          <w:rPr>
            <w:rStyle w:val="Hyperlink"/>
            <w:noProof/>
          </w:rPr>
          <w:t>6.3</w:t>
        </w:r>
        <w:r w:rsidR="00FE3D34">
          <w:rPr>
            <w:rFonts w:asciiTheme="minorHAnsi" w:eastAsiaTheme="minorEastAsia" w:hAnsiTheme="minorHAnsi" w:cstheme="minorBidi"/>
            <w:noProof/>
            <w:sz w:val="22"/>
            <w:szCs w:val="22"/>
            <w:lang w:val="en-NZ" w:eastAsia="en-NZ" w:bidi="ar-SA"/>
          </w:rPr>
          <w:tab/>
        </w:r>
        <w:r w:rsidR="00FE3D34" w:rsidRPr="007D412F">
          <w:rPr>
            <w:rStyle w:val="Hyperlink"/>
            <w:noProof/>
          </w:rPr>
          <w:t>Nutritional impacts of irradiated foods</w:t>
        </w:r>
        <w:r w:rsidR="00FE3D34">
          <w:rPr>
            <w:noProof/>
            <w:webHidden/>
          </w:rPr>
          <w:tab/>
        </w:r>
        <w:r w:rsidR="00FE3D34">
          <w:rPr>
            <w:noProof/>
            <w:webHidden/>
          </w:rPr>
          <w:fldChar w:fldCharType="begin"/>
        </w:r>
        <w:r w:rsidR="00FE3D34">
          <w:rPr>
            <w:noProof/>
            <w:webHidden/>
          </w:rPr>
          <w:instrText xml:space="preserve"> PAGEREF _Toc467141087 \h </w:instrText>
        </w:r>
        <w:r w:rsidR="00FE3D34">
          <w:rPr>
            <w:noProof/>
            <w:webHidden/>
          </w:rPr>
        </w:r>
        <w:r w:rsidR="00FE3D34">
          <w:rPr>
            <w:noProof/>
            <w:webHidden/>
          </w:rPr>
          <w:fldChar w:fldCharType="separate"/>
        </w:r>
        <w:r w:rsidR="00FE3D34">
          <w:rPr>
            <w:noProof/>
            <w:webHidden/>
          </w:rPr>
          <w:t>11</w:t>
        </w:r>
        <w:r w:rsidR="00FE3D34">
          <w:rPr>
            <w:noProof/>
            <w:webHidden/>
          </w:rPr>
          <w:fldChar w:fldCharType="end"/>
        </w:r>
      </w:hyperlink>
    </w:p>
    <w:p w14:paraId="19D4C77E" w14:textId="77777777" w:rsidR="00FE3D34" w:rsidRDefault="001F5681">
      <w:pPr>
        <w:pStyle w:val="TOC3"/>
        <w:rPr>
          <w:rFonts w:asciiTheme="minorHAnsi" w:eastAsiaTheme="minorEastAsia" w:hAnsiTheme="minorHAnsi" w:cstheme="minorBidi"/>
          <w:noProof/>
          <w:sz w:val="22"/>
          <w:szCs w:val="22"/>
          <w:lang w:val="en-NZ" w:eastAsia="en-NZ" w:bidi="ar-SA"/>
        </w:rPr>
      </w:pPr>
      <w:hyperlink w:anchor="_Toc467141088" w:history="1">
        <w:r w:rsidR="00FE3D34" w:rsidRPr="007D412F">
          <w:rPr>
            <w:rStyle w:val="Hyperlink"/>
            <w:noProof/>
          </w:rPr>
          <w:t>6.4</w:t>
        </w:r>
        <w:r w:rsidR="00FE3D34">
          <w:rPr>
            <w:rFonts w:asciiTheme="minorHAnsi" w:eastAsiaTheme="minorEastAsia" w:hAnsiTheme="minorHAnsi" w:cstheme="minorBidi"/>
            <w:noProof/>
            <w:sz w:val="22"/>
            <w:szCs w:val="22"/>
            <w:lang w:val="en-NZ" w:eastAsia="en-NZ" w:bidi="ar-SA"/>
          </w:rPr>
          <w:tab/>
        </w:r>
        <w:r w:rsidR="00FE3D34" w:rsidRPr="007D412F">
          <w:rPr>
            <w:rStyle w:val="Hyperlink"/>
            <w:noProof/>
          </w:rPr>
          <w:t>Irradiated cat food</w:t>
        </w:r>
        <w:r w:rsidR="00FE3D34">
          <w:rPr>
            <w:noProof/>
            <w:webHidden/>
          </w:rPr>
          <w:tab/>
        </w:r>
        <w:r w:rsidR="00FE3D34">
          <w:rPr>
            <w:noProof/>
            <w:webHidden/>
          </w:rPr>
          <w:fldChar w:fldCharType="begin"/>
        </w:r>
        <w:r w:rsidR="00FE3D34">
          <w:rPr>
            <w:noProof/>
            <w:webHidden/>
          </w:rPr>
          <w:instrText xml:space="preserve"> PAGEREF _Toc467141088 \h </w:instrText>
        </w:r>
        <w:r w:rsidR="00FE3D34">
          <w:rPr>
            <w:noProof/>
            <w:webHidden/>
          </w:rPr>
        </w:r>
        <w:r w:rsidR="00FE3D34">
          <w:rPr>
            <w:noProof/>
            <w:webHidden/>
          </w:rPr>
          <w:fldChar w:fldCharType="separate"/>
        </w:r>
        <w:r w:rsidR="00FE3D34">
          <w:rPr>
            <w:noProof/>
            <w:webHidden/>
          </w:rPr>
          <w:t>11</w:t>
        </w:r>
        <w:r w:rsidR="00FE3D34">
          <w:rPr>
            <w:noProof/>
            <w:webHidden/>
          </w:rPr>
          <w:fldChar w:fldCharType="end"/>
        </w:r>
      </w:hyperlink>
    </w:p>
    <w:p w14:paraId="12F5F8E7" w14:textId="77777777" w:rsidR="00FE3D34" w:rsidRDefault="001F5681">
      <w:pPr>
        <w:pStyle w:val="TOC3"/>
        <w:rPr>
          <w:rFonts w:asciiTheme="minorHAnsi" w:eastAsiaTheme="minorEastAsia" w:hAnsiTheme="minorHAnsi" w:cstheme="minorBidi"/>
          <w:noProof/>
          <w:sz w:val="22"/>
          <w:szCs w:val="22"/>
          <w:lang w:val="en-NZ" w:eastAsia="en-NZ" w:bidi="ar-SA"/>
        </w:rPr>
      </w:pPr>
      <w:hyperlink w:anchor="_Toc467141089" w:history="1">
        <w:r w:rsidR="00FE3D34" w:rsidRPr="007D412F">
          <w:rPr>
            <w:rStyle w:val="Hyperlink"/>
            <w:noProof/>
          </w:rPr>
          <w:t>6.5</w:t>
        </w:r>
        <w:r w:rsidR="00FE3D34">
          <w:rPr>
            <w:rFonts w:asciiTheme="minorHAnsi" w:eastAsiaTheme="minorEastAsia" w:hAnsiTheme="minorHAnsi" w:cstheme="minorBidi"/>
            <w:noProof/>
            <w:sz w:val="22"/>
            <w:szCs w:val="22"/>
            <w:lang w:val="en-NZ" w:eastAsia="en-NZ" w:bidi="ar-SA"/>
          </w:rPr>
          <w:tab/>
        </w:r>
        <w:r w:rsidR="00FE3D34" w:rsidRPr="007D412F">
          <w:rPr>
            <w:rStyle w:val="Hyperlink"/>
            <w:noProof/>
          </w:rPr>
          <w:t>International guidance on the safe use of irradiation</w:t>
        </w:r>
        <w:r w:rsidR="00FE3D34">
          <w:rPr>
            <w:noProof/>
            <w:webHidden/>
          </w:rPr>
          <w:tab/>
        </w:r>
        <w:r w:rsidR="00FE3D34">
          <w:rPr>
            <w:noProof/>
            <w:webHidden/>
          </w:rPr>
          <w:fldChar w:fldCharType="begin"/>
        </w:r>
        <w:r w:rsidR="00FE3D34">
          <w:rPr>
            <w:noProof/>
            <w:webHidden/>
          </w:rPr>
          <w:instrText xml:space="preserve"> PAGEREF _Toc467141089 \h </w:instrText>
        </w:r>
        <w:r w:rsidR="00FE3D34">
          <w:rPr>
            <w:noProof/>
            <w:webHidden/>
          </w:rPr>
        </w:r>
        <w:r w:rsidR="00FE3D34">
          <w:rPr>
            <w:noProof/>
            <w:webHidden/>
          </w:rPr>
          <w:fldChar w:fldCharType="separate"/>
        </w:r>
        <w:r w:rsidR="00FE3D34">
          <w:rPr>
            <w:noProof/>
            <w:webHidden/>
          </w:rPr>
          <w:t>12</w:t>
        </w:r>
        <w:r w:rsidR="00FE3D34">
          <w:rPr>
            <w:noProof/>
            <w:webHidden/>
          </w:rPr>
          <w:fldChar w:fldCharType="end"/>
        </w:r>
      </w:hyperlink>
    </w:p>
    <w:p w14:paraId="015A7E61" w14:textId="77777777" w:rsidR="00FE3D34" w:rsidRDefault="001F5681">
      <w:pPr>
        <w:pStyle w:val="TOC2"/>
        <w:rPr>
          <w:rFonts w:asciiTheme="minorHAnsi" w:eastAsiaTheme="minorEastAsia" w:hAnsiTheme="minorHAnsi" w:cstheme="minorBidi"/>
          <w:smallCaps w:val="0"/>
          <w:noProof/>
          <w:szCs w:val="22"/>
          <w:lang w:val="en-NZ" w:eastAsia="en-NZ" w:bidi="ar-SA"/>
        </w:rPr>
      </w:pPr>
      <w:hyperlink w:anchor="_Toc467141090" w:history="1">
        <w:r w:rsidR="00FE3D34" w:rsidRPr="007D412F">
          <w:rPr>
            <w:rStyle w:val="Hyperlink"/>
            <w:noProof/>
          </w:rPr>
          <w:t>7</w:t>
        </w:r>
        <w:r w:rsidR="00FE3D34">
          <w:rPr>
            <w:rFonts w:asciiTheme="minorHAnsi" w:eastAsiaTheme="minorEastAsia" w:hAnsiTheme="minorHAnsi" w:cstheme="minorBidi"/>
            <w:smallCaps w:val="0"/>
            <w:noProof/>
            <w:szCs w:val="22"/>
            <w:lang w:val="en-NZ" w:eastAsia="en-NZ" w:bidi="ar-SA"/>
          </w:rPr>
          <w:tab/>
        </w:r>
        <w:r w:rsidR="00FE3D34" w:rsidRPr="007D412F">
          <w:rPr>
            <w:rStyle w:val="Hyperlink"/>
            <w:noProof/>
          </w:rPr>
          <w:t>References</w:t>
        </w:r>
        <w:r w:rsidR="00FE3D34">
          <w:rPr>
            <w:noProof/>
            <w:webHidden/>
          </w:rPr>
          <w:tab/>
        </w:r>
        <w:r w:rsidR="00FE3D34">
          <w:rPr>
            <w:noProof/>
            <w:webHidden/>
          </w:rPr>
          <w:fldChar w:fldCharType="begin"/>
        </w:r>
        <w:r w:rsidR="00FE3D34">
          <w:rPr>
            <w:noProof/>
            <w:webHidden/>
          </w:rPr>
          <w:instrText xml:space="preserve"> PAGEREF _Toc467141090 \h </w:instrText>
        </w:r>
        <w:r w:rsidR="00FE3D34">
          <w:rPr>
            <w:noProof/>
            <w:webHidden/>
          </w:rPr>
        </w:r>
        <w:r w:rsidR="00FE3D34">
          <w:rPr>
            <w:noProof/>
            <w:webHidden/>
          </w:rPr>
          <w:fldChar w:fldCharType="separate"/>
        </w:r>
        <w:r w:rsidR="00FE3D34">
          <w:rPr>
            <w:noProof/>
            <w:webHidden/>
          </w:rPr>
          <w:t>13</w:t>
        </w:r>
        <w:r w:rsidR="00FE3D34">
          <w:rPr>
            <w:noProof/>
            <w:webHidden/>
          </w:rPr>
          <w:fldChar w:fldCharType="end"/>
        </w:r>
      </w:hyperlink>
    </w:p>
    <w:p w14:paraId="34028BFC" w14:textId="79C385E1" w:rsidR="00266F2C" w:rsidRDefault="002E3A87" w:rsidP="004C1EDE">
      <w:pPr>
        <w:pStyle w:val="TOC2"/>
      </w:pPr>
      <w:r>
        <w:fldChar w:fldCharType="end"/>
      </w:r>
    </w:p>
    <w:p w14:paraId="1BAC8D7A" w14:textId="77777777" w:rsidR="00E074E6" w:rsidRDefault="00E074E6" w:rsidP="00E47CD7">
      <w:pPr>
        <w:shd w:val="clear" w:color="auto" w:fill="FFFFFF"/>
        <w:rPr>
          <w:rFonts w:cs="Arial"/>
          <w:szCs w:val="22"/>
          <w:lang w:eastAsia="en-NZ"/>
        </w:rPr>
      </w:pPr>
    </w:p>
    <w:p w14:paraId="130F569C" w14:textId="77777777" w:rsidR="00E636CA" w:rsidRDefault="00E636CA" w:rsidP="00E47CD7">
      <w:pPr>
        <w:shd w:val="clear" w:color="auto" w:fill="FFFFFF"/>
        <w:rPr>
          <w:rFonts w:cs="Arial"/>
          <w:szCs w:val="22"/>
          <w:lang w:eastAsia="en-NZ"/>
        </w:rPr>
      </w:pPr>
      <w:r>
        <w:rPr>
          <w:rFonts w:cs="Arial"/>
          <w:szCs w:val="22"/>
          <w:lang w:eastAsia="en-NZ"/>
        </w:rPr>
        <w:br w:type="page"/>
      </w:r>
    </w:p>
    <w:p w14:paraId="6FD6E996" w14:textId="3D1946A3" w:rsidR="00082396" w:rsidRPr="00E074E6" w:rsidRDefault="00082396" w:rsidP="00082396">
      <w:pPr>
        <w:pStyle w:val="Heading2"/>
      </w:pPr>
      <w:bookmarkStart w:id="5" w:name="_Toc459292874"/>
      <w:bookmarkStart w:id="6" w:name="_Toc467141077"/>
      <w:bookmarkStart w:id="7" w:name="_Toc440466197"/>
      <w:r>
        <w:lastRenderedPageBreak/>
        <w:t>1</w:t>
      </w:r>
      <w:r w:rsidRPr="00E074E6">
        <w:tab/>
        <w:t xml:space="preserve">Current Australian and New Zealand </w:t>
      </w:r>
      <w:r>
        <w:t xml:space="preserve">domestic </w:t>
      </w:r>
      <w:r w:rsidRPr="00E074E6">
        <w:t>market</w:t>
      </w:r>
      <w:r>
        <w:t>s</w:t>
      </w:r>
      <w:r w:rsidRPr="00E074E6">
        <w:t xml:space="preserve"> for irradiated produce</w:t>
      </w:r>
      <w:bookmarkEnd w:id="5"/>
      <w:bookmarkEnd w:id="6"/>
    </w:p>
    <w:p w14:paraId="170F1A55" w14:textId="08942DEB" w:rsidR="00F253BB" w:rsidRPr="00F253BB" w:rsidRDefault="00082396" w:rsidP="00F253BB">
      <w:pPr>
        <w:pStyle w:val="Heading3"/>
      </w:pPr>
      <w:bookmarkStart w:id="8" w:name="_Toc467141078"/>
      <w:r>
        <w:t>1.1</w:t>
      </w:r>
      <w:r>
        <w:tab/>
        <w:t>Australian domestic market</w:t>
      </w:r>
      <w:bookmarkEnd w:id="8"/>
    </w:p>
    <w:p w14:paraId="495406CD" w14:textId="71AD69BD" w:rsidR="00F253BB" w:rsidRDefault="00F253BB" w:rsidP="00F253BB">
      <w:pPr>
        <w:rPr>
          <w:rFonts w:cs="Arial"/>
        </w:rPr>
      </w:pPr>
      <w:r>
        <w:rPr>
          <w:rFonts w:cs="Arial"/>
        </w:rPr>
        <w:t>The size of the Australian domestic market has been estimated using volume data for irradiated produce only</w:t>
      </w:r>
      <w:r w:rsidR="000D141F">
        <w:rPr>
          <w:rStyle w:val="FootnoteReference"/>
          <w:rFonts w:cs="Arial"/>
        </w:rPr>
        <w:footnoteReference w:id="2"/>
      </w:r>
      <w:r>
        <w:rPr>
          <w:rFonts w:cs="Arial"/>
        </w:rPr>
        <w:t xml:space="preserve">. Information about irradiated herbs, spices and plant material for herbal infusions is not reported due to difficulties in collecting volume data for these particular commodities. </w:t>
      </w:r>
    </w:p>
    <w:p w14:paraId="5DC21472" w14:textId="77777777" w:rsidR="00F253BB" w:rsidRDefault="00F253BB" w:rsidP="00082396">
      <w:pPr>
        <w:rPr>
          <w:rFonts w:cs="Arial"/>
        </w:rPr>
      </w:pPr>
    </w:p>
    <w:p w14:paraId="08A726EB" w14:textId="03691F6C" w:rsidR="00082396" w:rsidRDefault="00082396" w:rsidP="00082396">
      <w:pPr>
        <w:rPr>
          <w:rFonts w:cs="Arial"/>
        </w:rPr>
      </w:pPr>
      <w:r>
        <w:rPr>
          <w:rFonts w:cs="Arial"/>
        </w:rPr>
        <w:t>Market access within the Australian states and territories is approved by a 2011 national Interstate Certification Assurance Scheme as Operational Procedure Number 55 (ICA-55)</w:t>
      </w:r>
      <w:r w:rsidR="006C1B70">
        <w:rPr>
          <w:rFonts w:cs="Arial"/>
        </w:rPr>
        <w:t xml:space="preserve"> </w:t>
      </w:r>
      <w:r>
        <w:rPr>
          <w:rFonts w:cs="Arial"/>
        </w:rPr>
        <w:t>(</w:t>
      </w:r>
      <w:r w:rsidR="006C1B70" w:rsidRPr="006C1B70">
        <w:rPr>
          <w:rFonts w:cs="Arial"/>
        </w:rPr>
        <w:t>Department of Employment, Economic Development and Innovation, 2011</w:t>
      </w:r>
      <w:r w:rsidRPr="006C1B70">
        <w:rPr>
          <w:rFonts w:cs="Arial"/>
        </w:rPr>
        <w:t>).</w:t>
      </w:r>
      <w:r>
        <w:rPr>
          <w:rFonts w:cs="Arial"/>
        </w:rPr>
        <w:t xml:space="preserve"> The ICA-55 provides blanket approval for irradiation as a phytosanitary treatment for all fresh fruits and vegetables, and covers fruit flies, mango seed weevil and all pests of the class </w:t>
      </w:r>
      <w:proofErr w:type="spellStart"/>
      <w:r>
        <w:rPr>
          <w:rFonts w:cs="Arial"/>
        </w:rPr>
        <w:t>Insecta</w:t>
      </w:r>
      <w:proofErr w:type="spellEnd"/>
      <w:r>
        <w:rPr>
          <w:rFonts w:cs="Arial"/>
        </w:rPr>
        <w:t xml:space="preserve"> except pupae and adults of the order Lepidoptera. The ICA-55 applies to any irradiated food that has been assessed as safe by FSANZ and permitted to be irradiated. All states and territories are signatories to the ICA-55. </w:t>
      </w:r>
    </w:p>
    <w:p w14:paraId="0F8CC537" w14:textId="77777777" w:rsidR="00082396" w:rsidRDefault="00082396" w:rsidP="00082396">
      <w:pPr>
        <w:rPr>
          <w:rFonts w:cs="Arial"/>
          <w:highlight w:val="yellow"/>
        </w:rPr>
      </w:pPr>
    </w:p>
    <w:p w14:paraId="2676792B" w14:textId="66280771" w:rsidR="00082396" w:rsidRPr="007C184D" w:rsidRDefault="00082396" w:rsidP="00082396">
      <w:pPr>
        <w:rPr>
          <w:rFonts w:cs="Arial"/>
        </w:rPr>
      </w:pPr>
      <w:r w:rsidRPr="006C1B70">
        <w:rPr>
          <w:rFonts w:cs="Arial"/>
        </w:rPr>
        <w:t xml:space="preserve">Figure </w:t>
      </w:r>
      <w:r w:rsidR="006C1B70" w:rsidRPr="006C1B70">
        <w:rPr>
          <w:rFonts w:cs="Arial"/>
        </w:rPr>
        <w:t>1</w:t>
      </w:r>
      <w:r w:rsidRPr="006C1B70">
        <w:rPr>
          <w:rFonts w:cs="Arial"/>
        </w:rPr>
        <w:t xml:space="preserve"> illustrates</w:t>
      </w:r>
      <w:r>
        <w:rPr>
          <w:rFonts w:cs="Arial"/>
        </w:rPr>
        <w:t xml:space="preserve"> the volume of Australian produce by season that was irradiated by the Queensland irradiat</w:t>
      </w:r>
      <w:r w:rsidR="00A535B9">
        <w:rPr>
          <w:rFonts w:cs="Arial"/>
        </w:rPr>
        <w:t>ion</w:t>
      </w:r>
      <w:r>
        <w:rPr>
          <w:rFonts w:cs="Arial"/>
        </w:rPr>
        <w:t xml:space="preserve"> facility for domestic use. As an average across all produce types, one pallet is equivalent to one tonne of produce. The volume of produce </w:t>
      </w:r>
      <w:r w:rsidR="008F065B">
        <w:rPr>
          <w:rFonts w:cs="Arial"/>
        </w:rPr>
        <w:t>has therefore been</w:t>
      </w:r>
      <w:r>
        <w:rPr>
          <w:rFonts w:cs="Arial"/>
        </w:rPr>
        <w:t xml:space="preserve"> referred to </w:t>
      </w:r>
      <w:r w:rsidR="00A535B9">
        <w:rPr>
          <w:rFonts w:cs="Arial"/>
        </w:rPr>
        <w:t>in</w:t>
      </w:r>
      <w:r>
        <w:rPr>
          <w:rFonts w:cs="Arial"/>
        </w:rPr>
        <w:t xml:space="preserve"> tonnes in this report.</w:t>
      </w:r>
    </w:p>
    <w:p w14:paraId="2A132437" w14:textId="77777777" w:rsidR="00082396" w:rsidRDefault="00082396" w:rsidP="00082396">
      <w:pPr>
        <w:rPr>
          <w:rFonts w:cs="Arial"/>
        </w:rPr>
      </w:pPr>
      <w:r>
        <w:rPr>
          <w:noProof/>
          <w:lang w:eastAsia="en-GB" w:bidi="ar-SA"/>
        </w:rPr>
        <w:drawing>
          <wp:anchor distT="0" distB="0" distL="114300" distR="114300" simplePos="0" relativeHeight="251658240" behindDoc="1" locked="0" layoutInCell="1" allowOverlap="1" wp14:anchorId="39F46F93" wp14:editId="42836CE1">
            <wp:simplePos x="0" y="0"/>
            <wp:positionH relativeFrom="column">
              <wp:posOffset>4445</wp:posOffset>
            </wp:positionH>
            <wp:positionV relativeFrom="paragraph">
              <wp:posOffset>133985</wp:posOffset>
            </wp:positionV>
            <wp:extent cx="5200650" cy="2609850"/>
            <wp:effectExtent l="0" t="0" r="19050" b="19050"/>
            <wp:wrapTight wrapText="bothSides">
              <wp:wrapPolygon edited="0">
                <wp:start x="0" y="0"/>
                <wp:lineTo x="0" y="21600"/>
                <wp:lineTo x="21600" y="21600"/>
                <wp:lineTo x="21600" y="0"/>
                <wp:lineTo x="0" y="0"/>
              </wp:wrapPolygon>
            </wp:wrapTight>
            <wp:docPr id="1" name="Chart 1" descr="This bar graph shows the volume of produce (mangoes, capsicums, tomatoes and plums) (in tonnes) that was irradiated by the Queensland irradiation facility for domestic use  by season, from 2011 to 2016. " title="Figure 1. History of Australian irradiated produce for domestic us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3B61114C" w14:textId="77777777" w:rsidR="00082396" w:rsidRDefault="00082396" w:rsidP="00082396">
      <w:pPr>
        <w:rPr>
          <w:rFonts w:cs="Arial"/>
        </w:rPr>
      </w:pPr>
    </w:p>
    <w:p w14:paraId="15E156BF" w14:textId="77777777" w:rsidR="00082396" w:rsidRDefault="00082396" w:rsidP="00082396">
      <w:pPr>
        <w:rPr>
          <w:rFonts w:cs="Arial"/>
        </w:rPr>
      </w:pPr>
    </w:p>
    <w:p w14:paraId="00C99177" w14:textId="77777777" w:rsidR="00082396" w:rsidRDefault="00082396" w:rsidP="00082396">
      <w:pPr>
        <w:rPr>
          <w:rFonts w:cs="Arial"/>
        </w:rPr>
      </w:pPr>
    </w:p>
    <w:p w14:paraId="4FDE3EEC" w14:textId="77777777" w:rsidR="00082396" w:rsidRDefault="00082396" w:rsidP="00082396">
      <w:pPr>
        <w:rPr>
          <w:rFonts w:cs="Arial"/>
        </w:rPr>
      </w:pPr>
    </w:p>
    <w:p w14:paraId="1C20C286" w14:textId="77777777" w:rsidR="00082396" w:rsidRDefault="00082396" w:rsidP="00082396">
      <w:pPr>
        <w:rPr>
          <w:rFonts w:cs="Arial"/>
        </w:rPr>
      </w:pPr>
    </w:p>
    <w:p w14:paraId="2FD34501" w14:textId="77777777" w:rsidR="00082396" w:rsidRDefault="00082396" w:rsidP="00082396">
      <w:pPr>
        <w:rPr>
          <w:rFonts w:cs="Arial"/>
        </w:rPr>
      </w:pPr>
    </w:p>
    <w:p w14:paraId="570B054A" w14:textId="77777777" w:rsidR="00082396" w:rsidRDefault="00082396" w:rsidP="00082396">
      <w:pPr>
        <w:rPr>
          <w:rFonts w:cs="Arial"/>
        </w:rPr>
      </w:pPr>
    </w:p>
    <w:p w14:paraId="5CD6BE20" w14:textId="77777777" w:rsidR="00082396" w:rsidRDefault="00082396" w:rsidP="00082396">
      <w:pPr>
        <w:rPr>
          <w:rFonts w:cs="Arial"/>
        </w:rPr>
      </w:pPr>
    </w:p>
    <w:p w14:paraId="3548AE16" w14:textId="77777777" w:rsidR="00082396" w:rsidRDefault="00082396" w:rsidP="00082396">
      <w:pPr>
        <w:rPr>
          <w:rFonts w:cs="Arial"/>
        </w:rPr>
      </w:pPr>
    </w:p>
    <w:p w14:paraId="404B6160" w14:textId="77777777" w:rsidR="00082396" w:rsidRDefault="00082396" w:rsidP="00082396">
      <w:pPr>
        <w:rPr>
          <w:rFonts w:cs="Arial"/>
        </w:rPr>
      </w:pPr>
    </w:p>
    <w:p w14:paraId="26E3827C" w14:textId="77777777" w:rsidR="00082396" w:rsidRDefault="00082396" w:rsidP="00082396">
      <w:pPr>
        <w:rPr>
          <w:rFonts w:cs="Arial"/>
        </w:rPr>
      </w:pPr>
    </w:p>
    <w:p w14:paraId="01118406" w14:textId="77777777" w:rsidR="00082396" w:rsidRDefault="00082396" w:rsidP="00082396">
      <w:pPr>
        <w:rPr>
          <w:rFonts w:cs="Arial"/>
        </w:rPr>
      </w:pPr>
    </w:p>
    <w:p w14:paraId="18029DC5" w14:textId="77777777" w:rsidR="00082396" w:rsidRDefault="00082396" w:rsidP="00082396">
      <w:pPr>
        <w:rPr>
          <w:rFonts w:cs="Arial"/>
        </w:rPr>
      </w:pPr>
    </w:p>
    <w:p w14:paraId="376B3BE6" w14:textId="77777777" w:rsidR="00082396" w:rsidRDefault="00082396" w:rsidP="00082396">
      <w:pPr>
        <w:rPr>
          <w:rFonts w:cs="Arial"/>
        </w:rPr>
      </w:pPr>
    </w:p>
    <w:p w14:paraId="27E5C7C7" w14:textId="77777777" w:rsidR="00082396" w:rsidRDefault="00082396" w:rsidP="00082396">
      <w:pPr>
        <w:rPr>
          <w:rFonts w:cs="Arial"/>
        </w:rPr>
      </w:pPr>
    </w:p>
    <w:p w14:paraId="352DD7AA" w14:textId="77777777" w:rsidR="00082396" w:rsidRDefault="00082396" w:rsidP="00082396">
      <w:pPr>
        <w:rPr>
          <w:rFonts w:cs="Arial"/>
        </w:rPr>
      </w:pPr>
    </w:p>
    <w:p w14:paraId="3AB75B57" w14:textId="77777777" w:rsidR="00082396" w:rsidRDefault="00082396" w:rsidP="00082396">
      <w:pPr>
        <w:rPr>
          <w:rFonts w:cs="Arial"/>
        </w:rPr>
      </w:pPr>
    </w:p>
    <w:p w14:paraId="4EA8687A" w14:textId="140C0C0C" w:rsidR="00082396" w:rsidRPr="000D141F" w:rsidRDefault="00082396" w:rsidP="00A535B9">
      <w:pPr>
        <w:spacing w:before="120" w:after="120"/>
        <w:rPr>
          <w:rFonts w:cs="Arial"/>
          <w:b/>
        </w:rPr>
      </w:pPr>
      <w:proofErr w:type="gramStart"/>
      <w:r w:rsidRPr="000D141F">
        <w:rPr>
          <w:rFonts w:cs="Arial"/>
          <w:b/>
        </w:rPr>
        <w:t xml:space="preserve">Figure </w:t>
      </w:r>
      <w:r w:rsidR="006C1B70" w:rsidRPr="000D141F">
        <w:rPr>
          <w:rFonts w:cs="Arial"/>
          <w:b/>
        </w:rPr>
        <w:t>1</w:t>
      </w:r>
      <w:r w:rsidR="000D141F">
        <w:rPr>
          <w:rFonts w:cs="Arial"/>
          <w:b/>
        </w:rPr>
        <w:t>.</w:t>
      </w:r>
      <w:proofErr w:type="gramEnd"/>
      <w:r w:rsidR="00A535B9" w:rsidRPr="000D141F">
        <w:rPr>
          <w:rFonts w:cs="Arial"/>
          <w:b/>
        </w:rPr>
        <w:tab/>
      </w:r>
      <w:r w:rsidRPr="000D141F">
        <w:rPr>
          <w:rFonts w:cs="Arial"/>
          <w:b/>
        </w:rPr>
        <w:t xml:space="preserve">History of Australian irradiated produce for domestic use </w:t>
      </w:r>
    </w:p>
    <w:p w14:paraId="44BA89B2" w14:textId="77777777" w:rsidR="00082396" w:rsidRDefault="00082396" w:rsidP="00082396">
      <w:pPr>
        <w:rPr>
          <w:rFonts w:cs="Arial"/>
        </w:rPr>
      </w:pPr>
      <w:r>
        <w:rPr>
          <w:rFonts w:cs="Arial"/>
        </w:rPr>
        <w:t xml:space="preserve">In the 2015-16 year, 23 tonnes of plums, 10 tonnes of capsicums and 1 tonne of tomatoes were irradiated. Prior to the year ending June 2014, mangoes were the only irradiated produce sold domestically in Australia. After the 2013-14 </w:t>
      </w:r>
      <w:proofErr w:type="gramStart"/>
      <w:r>
        <w:rPr>
          <w:rFonts w:cs="Arial"/>
        </w:rPr>
        <w:t>season</w:t>
      </w:r>
      <w:proofErr w:type="gramEnd"/>
      <w:r>
        <w:rPr>
          <w:rFonts w:cs="Arial"/>
        </w:rPr>
        <w:t xml:space="preserve">, mango producers could verify that they were ‘seed weevil free’ (the main reason for irradiation treatment) and mangoes were no longer required to be irradiated to access the Western Australia market. </w:t>
      </w:r>
    </w:p>
    <w:p w14:paraId="43413D7E" w14:textId="77777777" w:rsidR="00082396" w:rsidRDefault="00082396" w:rsidP="00082396">
      <w:pPr>
        <w:rPr>
          <w:rFonts w:cs="Arial"/>
        </w:rPr>
      </w:pPr>
    </w:p>
    <w:p w14:paraId="38E0DDB8" w14:textId="0C7836B9" w:rsidR="00082396" w:rsidRDefault="00082396" w:rsidP="00082396">
      <w:pPr>
        <w:rPr>
          <w:rFonts w:cs="Arial"/>
        </w:rPr>
      </w:pPr>
      <w:r>
        <w:rPr>
          <w:rFonts w:cs="Arial"/>
        </w:rPr>
        <w:t xml:space="preserve">New domestic markets for capsicums and tomatoes were established in the 2013-14 season after permissions to irradiate these produce types were granted. A similar situation occurred in the 2015-16 </w:t>
      </w:r>
      <w:r w:rsidR="00AF652B">
        <w:rPr>
          <w:rFonts w:cs="Arial"/>
        </w:rPr>
        <w:t xml:space="preserve">season </w:t>
      </w:r>
      <w:r>
        <w:rPr>
          <w:rFonts w:cs="Arial"/>
        </w:rPr>
        <w:t xml:space="preserve">for plums. </w:t>
      </w:r>
    </w:p>
    <w:p w14:paraId="3E569402" w14:textId="7A8282EB" w:rsidR="00A90594" w:rsidRDefault="00082396" w:rsidP="00A90594">
      <w:pPr>
        <w:rPr>
          <w:rFonts w:cs="Arial"/>
        </w:rPr>
      </w:pPr>
      <w:r w:rsidRPr="009F54FC">
        <w:rPr>
          <w:rFonts w:cs="Arial"/>
        </w:rPr>
        <w:lastRenderedPageBreak/>
        <w:t>The Australian Department of Agriculture and Water Resources</w:t>
      </w:r>
      <w:r w:rsidR="00A90594">
        <w:rPr>
          <w:rFonts w:cs="Arial"/>
        </w:rPr>
        <w:t xml:space="preserve"> </w:t>
      </w:r>
      <w:r w:rsidRPr="009F54FC">
        <w:rPr>
          <w:rFonts w:cs="Arial"/>
        </w:rPr>
        <w:t xml:space="preserve">is responsible for </w:t>
      </w:r>
      <w:r w:rsidR="00AF652B">
        <w:rPr>
          <w:rFonts w:cs="Arial"/>
        </w:rPr>
        <w:t xml:space="preserve">the biosecurity of </w:t>
      </w:r>
      <w:r w:rsidRPr="009F54FC">
        <w:rPr>
          <w:rFonts w:cs="Arial"/>
        </w:rPr>
        <w:t xml:space="preserve">imported food, including irradiated food imported from other countries. </w:t>
      </w:r>
      <w:r w:rsidR="00A90594">
        <w:rPr>
          <w:rFonts w:cs="Arial"/>
        </w:rPr>
        <w:t>Th</w:t>
      </w:r>
      <w:r w:rsidR="000D141F">
        <w:rPr>
          <w:rFonts w:cs="Arial"/>
        </w:rPr>
        <w:t>is</w:t>
      </w:r>
      <w:r w:rsidR="00A90594">
        <w:rPr>
          <w:rFonts w:cs="Arial"/>
        </w:rPr>
        <w:t xml:space="preserve"> Department undertakes a </w:t>
      </w:r>
      <w:r w:rsidR="00A90594" w:rsidRPr="00A90594">
        <w:rPr>
          <w:rFonts w:cs="Arial"/>
        </w:rPr>
        <w:t xml:space="preserve">risk analysis </w:t>
      </w:r>
      <w:r w:rsidR="00A90594">
        <w:rPr>
          <w:rFonts w:cs="Arial"/>
        </w:rPr>
        <w:t xml:space="preserve">of the </w:t>
      </w:r>
      <w:r w:rsidR="00A90594" w:rsidRPr="00A90594">
        <w:rPr>
          <w:rFonts w:cs="Arial"/>
        </w:rPr>
        <w:t xml:space="preserve">food if it is a new </w:t>
      </w:r>
      <w:r w:rsidR="00AF652B">
        <w:rPr>
          <w:rFonts w:cs="Arial"/>
        </w:rPr>
        <w:t xml:space="preserve">(unapproved) </w:t>
      </w:r>
      <w:r w:rsidR="00A90594" w:rsidRPr="00A90594">
        <w:rPr>
          <w:rFonts w:cs="Arial"/>
        </w:rPr>
        <w:t>commodity or if it is a</w:t>
      </w:r>
      <w:r w:rsidR="008F065B">
        <w:rPr>
          <w:rFonts w:cs="Arial"/>
        </w:rPr>
        <w:t>n</w:t>
      </w:r>
      <w:r w:rsidR="00A90594" w:rsidRPr="00A90594">
        <w:rPr>
          <w:rFonts w:cs="Arial"/>
        </w:rPr>
        <w:t xml:space="preserve"> approved commodity but from a different </w:t>
      </w:r>
      <w:r w:rsidR="00F253BB">
        <w:rPr>
          <w:rFonts w:cs="Arial"/>
        </w:rPr>
        <w:t>country</w:t>
      </w:r>
      <w:r w:rsidR="00A90594" w:rsidRPr="00A90594">
        <w:rPr>
          <w:rFonts w:cs="Arial"/>
        </w:rPr>
        <w:t xml:space="preserve">. </w:t>
      </w:r>
      <w:r w:rsidRPr="009F54FC">
        <w:rPr>
          <w:rFonts w:cs="Arial"/>
        </w:rPr>
        <w:t>Vietnam</w:t>
      </w:r>
      <w:r w:rsidR="00A90594">
        <w:rPr>
          <w:rFonts w:cs="Arial"/>
        </w:rPr>
        <w:t xml:space="preserve">, India and Pakistan are the </w:t>
      </w:r>
      <w:r w:rsidRPr="009F54FC">
        <w:rPr>
          <w:rFonts w:cs="Arial"/>
        </w:rPr>
        <w:t>only countr</w:t>
      </w:r>
      <w:r w:rsidR="00A90594">
        <w:rPr>
          <w:rFonts w:cs="Arial"/>
        </w:rPr>
        <w:t xml:space="preserve">ies that have </w:t>
      </w:r>
      <w:r w:rsidR="008F065B">
        <w:rPr>
          <w:rFonts w:cs="Arial"/>
        </w:rPr>
        <w:t xml:space="preserve">food </w:t>
      </w:r>
      <w:r w:rsidR="00A90594">
        <w:rPr>
          <w:rFonts w:cs="Arial"/>
        </w:rPr>
        <w:t>irradiation facilities a</w:t>
      </w:r>
      <w:r w:rsidRPr="009F54FC">
        <w:rPr>
          <w:rFonts w:cs="Arial"/>
        </w:rPr>
        <w:t xml:space="preserve">pproved by Australia to </w:t>
      </w:r>
      <w:r w:rsidR="008F065B">
        <w:rPr>
          <w:rFonts w:cs="Arial"/>
        </w:rPr>
        <w:t xml:space="preserve">treat food </w:t>
      </w:r>
      <w:r w:rsidRPr="009F54FC">
        <w:rPr>
          <w:rFonts w:cs="Arial"/>
        </w:rPr>
        <w:t>destined for the A</w:t>
      </w:r>
      <w:r w:rsidR="00A90594">
        <w:rPr>
          <w:rFonts w:cs="Arial"/>
        </w:rPr>
        <w:t xml:space="preserve">ustralian domestic market; the latter two countries have only recently </w:t>
      </w:r>
      <w:r w:rsidR="008F065B">
        <w:rPr>
          <w:rFonts w:cs="Arial"/>
        </w:rPr>
        <w:t xml:space="preserve">gained </w:t>
      </w:r>
      <w:r w:rsidR="00A90594">
        <w:rPr>
          <w:rFonts w:cs="Arial"/>
        </w:rPr>
        <w:t xml:space="preserve">approval to treat mango. </w:t>
      </w:r>
      <w:r w:rsidRPr="009F54FC">
        <w:rPr>
          <w:rFonts w:cs="Arial"/>
        </w:rPr>
        <w:t>In the 2015-16 season,</w:t>
      </w:r>
      <w:r w:rsidR="00A90594">
        <w:rPr>
          <w:rFonts w:cs="Arial"/>
        </w:rPr>
        <w:t xml:space="preserve"> the only imported irradiated food for retail sale in Australia was litchi </w:t>
      </w:r>
      <w:r w:rsidR="00AF652B" w:rsidRPr="00AF652B">
        <w:rPr>
          <w:rFonts w:cs="Arial"/>
        </w:rPr>
        <w:t xml:space="preserve">(also known as lychees), </w:t>
      </w:r>
      <w:r w:rsidR="008F065B">
        <w:rPr>
          <w:rFonts w:cs="Arial"/>
        </w:rPr>
        <w:t xml:space="preserve">sourced </w:t>
      </w:r>
      <w:r w:rsidR="00A90594">
        <w:rPr>
          <w:rFonts w:cs="Arial"/>
        </w:rPr>
        <w:t>from Vietnam. Trade volumes for this period have been estimated</w:t>
      </w:r>
      <w:r w:rsidR="00AF652B">
        <w:rPr>
          <w:rFonts w:cs="Arial"/>
        </w:rPr>
        <w:t xml:space="preserve"> to be</w:t>
      </w:r>
      <w:r w:rsidR="00A90594">
        <w:rPr>
          <w:rFonts w:cs="Arial"/>
        </w:rPr>
        <w:t xml:space="preserve"> 15 tonnes.</w:t>
      </w:r>
      <w:r w:rsidR="00AD37FB">
        <w:rPr>
          <w:rFonts w:cs="Arial"/>
        </w:rPr>
        <w:t xml:space="preserve"> The proportion of irradiated lychees in the total traded volume for this fruit is not available. </w:t>
      </w:r>
    </w:p>
    <w:p w14:paraId="64CD3C5B" w14:textId="2CD556F1" w:rsidR="00082396" w:rsidRDefault="00082396" w:rsidP="00082396">
      <w:pPr>
        <w:pStyle w:val="Heading3"/>
        <w:rPr>
          <w:i/>
        </w:rPr>
      </w:pPr>
      <w:bookmarkStart w:id="9" w:name="_Toc467141079"/>
      <w:r>
        <w:t>1.2</w:t>
      </w:r>
      <w:r>
        <w:tab/>
        <w:t>New Zealand domestic market</w:t>
      </w:r>
      <w:bookmarkEnd w:id="9"/>
      <w:r>
        <w:t xml:space="preserve"> </w:t>
      </w:r>
    </w:p>
    <w:p w14:paraId="323FA2B6" w14:textId="3751253E" w:rsidR="001F1D53" w:rsidRPr="001F1D53" w:rsidRDefault="001F1D53" w:rsidP="001F1D53">
      <w:r>
        <w:rPr>
          <w:rFonts w:cs="Arial"/>
        </w:rPr>
        <w:t>For consistency with the approach taken in Australia, t</w:t>
      </w:r>
      <w:r w:rsidRPr="001F1D53">
        <w:t xml:space="preserve">he size of the </w:t>
      </w:r>
      <w:r>
        <w:t>New Zealand</w:t>
      </w:r>
      <w:r w:rsidRPr="001F1D53">
        <w:t xml:space="preserve"> domestic market has </w:t>
      </w:r>
      <w:r>
        <w:t xml:space="preserve">also </w:t>
      </w:r>
      <w:r w:rsidRPr="001F1D53">
        <w:t>been estimated using volume data for irradiated produce only.</w:t>
      </w:r>
      <w:r w:rsidR="000D141F">
        <w:rPr>
          <w:rStyle w:val="FootnoteReference"/>
        </w:rPr>
        <w:footnoteReference w:id="3"/>
      </w:r>
      <w:r w:rsidRPr="001F1D53">
        <w:t xml:space="preserve"> </w:t>
      </w:r>
    </w:p>
    <w:p w14:paraId="23A3C227" w14:textId="77777777" w:rsidR="001F1D53" w:rsidRDefault="001F1D53" w:rsidP="00082396">
      <w:pPr>
        <w:rPr>
          <w:rFonts w:cs="Arial"/>
        </w:rPr>
      </w:pPr>
    </w:p>
    <w:p w14:paraId="30916DC3" w14:textId="4B38FB64" w:rsidR="00082396" w:rsidRPr="008F195E" w:rsidRDefault="00082396" w:rsidP="00082396">
      <w:pPr>
        <w:rPr>
          <w:rFonts w:cs="Arial"/>
        </w:rPr>
      </w:pPr>
      <w:r>
        <w:rPr>
          <w:rFonts w:cs="Arial"/>
        </w:rPr>
        <w:t>All food imported into New Zealand is subject to import health standards that prescribe the biosecurity treatments that can be used to control unwanted pests. Import health standards are developed by the New Zealand Ministry for Primary Industries, include a separate biosecurity risk assessment, and are regulated under the Biosecurity Act 1993. Biosecurity measures that are currently permitted are set out Standard 152.02 Importation and clearance of fresh fruit and vegetables to New Zealand (New Zealand Ministry for Primary Industries 2016). At present, import health standards that permit irradiation to be used as a phytosanitary treatment are in place for Australian mangoes, litchis</w:t>
      </w:r>
      <w:r w:rsidR="00AF652B">
        <w:rPr>
          <w:rFonts w:cs="Arial"/>
        </w:rPr>
        <w:t xml:space="preserve">, </w:t>
      </w:r>
      <w:r>
        <w:rPr>
          <w:rFonts w:cs="Arial"/>
        </w:rPr>
        <w:t>papaya, tomatoes and capsicums.</w:t>
      </w:r>
      <w:r w:rsidR="00597C64">
        <w:rPr>
          <w:rFonts w:cs="Arial"/>
        </w:rPr>
        <w:t xml:space="preserve"> </w:t>
      </w:r>
      <w:r w:rsidR="00B33A22">
        <w:rPr>
          <w:rFonts w:cs="Arial"/>
        </w:rPr>
        <w:t xml:space="preserve">Import health standards have also been established for irradiated </w:t>
      </w:r>
      <w:proofErr w:type="spellStart"/>
      <w:r w:rsidR="00E9473B">
        <w:rPr>
          <w:rFonts w:cs="Arial"/>
        </w:rPr>
        <w:t>longan</w:t>
      </w:r>
      <w:proofErr w:type="spellEnd"/>
      <w:r w:rsidR="00E9473B" w:rsidRPr="008F195E">
        <w:rPr>
          <w:rFonts w:cs="Arial"/>
        </w:rPr>
        <w:t xml:space="preserve"> </w:t>
      </w:r>
      <w:r w:rsidR="00B33A22" w:rsidRPr="008F195E">
        <w:rPr>
          <w:rFonts w:cs="Arial"/>
        </w:rPr>
        <w:t>and litchi from Thailand</w:t>
      </w:r>
      <w:r w:rsidR="00B33A22">
        <w:rPr>
          <w:rFonts w:cs="Arial"/>
        </w:rPr>
        <w:t>, irradiated papaya from Hawaii and irradiated mangoes from Vietnam. Currently there are no</w:t>
      </w:r>
      <w:r w:rsidR="00F253BB">
        <w:rPr>
          <w:rFonts w:cs="Arial"/>
        </w:rPr>
        <w:t xml:space="preserve"> New Zealand</w:t>
      </w:r>
      <w:r w:rsidR="00B33A22">
        <w:rPr>
          <w:rFonts w:cs="Arial"/>
        </w:rPr>
        <w:t xml:space="preserve"> import health standards for </w:t>
      </w:r>
      <w:r w:rsidR="00B33A22" w:rsidRPr="008E3844">
        <w:t xml:space="preserve">apple, apricot, cherry, nectarine, peach, plum, honeydew, </w:t>
      </w:r>
      <w:proofErr w:type="spellStart"/>
      <w:r w:rsidR="00B33A22" w:rsidRPr="008E3844">
        <w:t>rockmelon</w:t>
      </w:r>
      <w:proofErr w:type="spellEnd"/>
      <w:r w:rsidR="00B33A22" w:rsidRPr="008E3844">
        <w:t xml:space="preserve">, </w:t>
      </w:r>
      <w:proofErr w:type="spellStart"/>
      <w:r w:rsidR="00B33A22" w:rsidRPr="008E3844">
        <w:t>scallopini</w:t>
      </w:r>
      <w:proofErr w:type="spellEnd"/>
      <w:r w:rsidR="00B33A22" w:rsidRPr="008E3844">
        <w:t>, strawberry, table grape and zucchini (courgette)</w:t>
      </w:r>
      <w:r w:rsidR="00B33A22">
        <w:t xml:space="preserve">. </w:t>
      </w:r>
    </w:p>
    <w:p w14:paraId="562CB199" w14:textId="77777777" w:rsidR="00082396" w:rsidRDefault="00082396" w:rsidP="00082396">
      <w:pPr>
        <w:rPr>
          <w:rFonts w:cs="Arial"/>
        </w:rPr>
      </w:pPr>
    </w:p>
    <w:p w14:paraId="0BA619AB" w14:textId="50441E2B" w:rsidR="00082396" w:rsidRPr="001D7EFA" w:rsidRDefault="00082396" w:rsidP="00082396">
      <w:pPr>
        <w:rPr>
          <w:rFonts w:cs="Arial"/>
        </w:rPr>
      </w:pPr>
      <w:r w:rsidRPr="001D7EFA">
        <w:rPr>
          <w:rFonts w:cs="Arial"/>
        </w:rPr>
        <w:t xml:space="preserve">In the </w:t>
      </w:r>
      <w:r>
        <w:rPr>
          <w:rFonts w:cs="Arial"/>
        </w:rPr>
        <w:t xml:space="preserve">year ending June 2016, </w:t>
      </w:r>
      <w:r w:rsidRPr="001D7EFA">
        <w:rPr>
          <w:rFonts w:cs="Arial"/>
        </w:rPr>
        <w:t xml:space="preserve">a total volume of </w:t>
      </w:r>
      <w:r w:rsidR="00F57BFE">
        <w:rPr>
          <w:rFonts w:cs="Arial"/>
        </w:rPr>
        <w:t>24,</w:t>
      </w:r>
      <w:r>
        <w:rPr>
          <w:rFonts w:cs="Arial"/>
        </w:rPr>
        <w:t xml:space="preserve">365 tonnes </w:t>
      </w:r>
      <w:r w:rsidRPr="001D7EFA">
        <w:rPr>
          <w:rFonts w:cs="Arial"/>
        </w:rPr>
        <w:t xml:space="preserve">of </w:t>
      </w:r>
      <w:r w:rsidRPr="009E659A">
        <w:rPr>
          <w:rFonts w:cs="Arial"/>
          <w:u w:val="single"/>
        </w:rPr>
        <w:t>non-irradiated</w:t>
      </w:r>
      <w:r>
        <w:rPr>
          <w:rFonts w:cs="Arial"/>
        </w:rPr>
        <w:t xml:space="preserve"> </w:t>
      </w:r>
      <w:r w:rsidRPr="001D7EFA">
        <w:rPr>
          <w:rFonts w:cs="Arial"/>
        </w:rPr>
        <w:t xml:space="preserve">fresh produce was </w:t>
      </w:r>
      <w:r>
        <w:rPr>
          <w:rFonts w:cs="Arial"/>
        </w:rPr>
        <w:t xml:space="preserve">exported from Australia to New Zealand. The total volume of </w:t>
      </w:r>
      <w:r w:rsidRPr="009E659A">
        <w:rPr>
          <w:rFonts w:cs="Arial"/>
          <w:u w:val="single"/>
        </w:rPr>
        <w:t>irradiated</w:t>
      </w:r>
      <w:r>
        <w:rPr>
          <w:rFonts w:cs="Arial"/>
        </w:rPr>
        <w:t xml:space="preserve"> produce from Australia was 1550 tonnes. This amount represents less than seven per</w:t>
      </w:r>
      <w:r w:rsidR="00205EB4">
        <w:rPr>
          <w:rFonts w:cs="Arial"/>
        </w:rPr>
        <w:t xml:space="preserve"> </w:t>
      </w:r>
      <w:r>
        <w:rPr>
          <w:rFonts w:cs="Arial"/>
        </w:rPr>
        <w:t>cent of the combined irradiated and non-irradiated produce volumes. Australian export volumes</w:t>
      </w:r>
      <w:r w:rsidR="00CF54AB">
        <w:rPr>
          <w:rFonts w:cs="Arial"/>
        </w:rPr>
        <w:t xml:space="preserve"> to New Zealand</w:t>
      </w:r>
      <w:r>
        <w:rPr>
          <w:rFonts w:cs="Arial"/>
        </w:rPr>
        <w:t xml:space="preserve"> by </w:t>
      </w:r>
      <w:r>
        <w:t xml:space="preserve">produce type are </w:t>
      </w:r>
      <w:r w:rsidRPr="006C1B70">
        <w:t xml:space="preserve">shown in Figure </w:t>
      </w:r>
      <w:r w:rsidR="006C1B70" w:rsidRPr="006C1B70">
        <w:t>2</w:t>
      </w:r>
      <w:r w:rsidRPr="006C1B70">
        <w:t>.</w:t>
      </w:r>
    </w:p>
    <w:p w14:paraId="7E337BDA" w14:textId="4A3D98D6" w:rsidR="00082396" w:rsidRDefault="00082396" w:rsidP="00082396">
      <w:pPr>
        <w:rPr>
          <w:rFonts w:cs="Arial"/>
          <w:color w:val="FF0000"/>
        </w:rPr>
      </w:pPr>
    </w:p>
    <w:p w14:paraId="26597C77" w14:textId="77777777" w:rsidR="00AD37FB" w:rsidRDefault="00AD37FB" w:rsidP="00AD37FB">
      <w:pPr>
        <w:rPr>
          <w:rFonts w:cs="Arial"/>
        </w:rPr>
      </w:pPr>
      <w:r w:rsidRPr="008F195E">
        <w:rPr>
          <w:rFonts w:cs="Arial"/>
        </w:rPr>
        <w:t>The New Zealand market for</w:t>
      </w:r>
      <w:r>
        <w:rPr>
          <w:rFonts w:cs="Arial"/>
        </w:rPr>
        <w:t xml:space="preserve"> </w:t>
      </w:r>
      <w:r w:rsidRPr="008F195E">
        <w:rPr>
          <w:rFonts w:cs="Arial"/>
        </w:rPr>
        <w:t>irradiated mangoes</w:t>
      </w:r>
      <w:r>
        <w:rPr>
          <w:rFonts w:cs="Arial"/>
        </w:rPr>
        <w:t xml:space="preserve"> for the </w:t>
      </w:r>
      <w:r w:rsidRPr="00CF54AB">
        <w:rPr>
          <w:rFonts w:cs="Arial"/>
        </w:rPr>
        <w:t>year ending June 2016</w:t>
      </w:r>
      <w:r>
        <w:rPr>
          <w:rFonts w:cs="Arial"/>
        </w:rPr>
        <w:t xml:space="preserve"> was significant, with 1024 tonnes imported from Australia between July 2015 and June 2016. This is due in part to it being an established market (irradiated mangoes have been available in New Zealand for eleven years) and the absence of local production. For the same season, the volume of imported irradiated litchis and papaya from Australia was 64 tonnes and 104 tonnes, respectively. Australian-irradiated litchis were introduced to the New Zealand market in 2005-6. Australian irradiated papaya followed in 2011-12. </w:t>
      </w:r>
    </w:p>
    <w:p w14:paraId="5208AA36" w14:textId="77777777" w:rsidR="00AD37FB" w:rsidRDefault="00AD37FB" w:rsidP="00AD37FB">
      <w:pPr>
        <w:rPr>
          <w:rFonts w:cs="Arial"/>
        </w:rPr>
      </w:pPr>
    </w:p>
    <w:p w14:paraId="3176B04F" w14:textId="77777777" w:rsidR="00AD37FB" w:rsidRDefault="00AD37FB" w:rsidP="00AD37FB">
      <w:pPr>
        <w:rPr>
          <w:rFonts w:cs="Arial"/>
        </w:rPr>
      </w:pPr>
      <w:r>
        <w:rPr>
          <w:rFonts w:cs="Arial"/>
        </w:rPr>
        <w:t>Three hundred and forty-nine tonnes of irradiated tomatoes were imported from Australia in the period between July 2015 and June 2016. This time period was the third season for imports of this irradiated produce type and reflected a drop in volume from the first season (413 tonnes between July 2013 and June 2014). Nine tonnes of Australian irradiated capsicums were imported for the current period of July 2015 to June 2016. This volume decreased significantly from the first season (58 tonnes in July 2013 – June 2014).</w:t>
      </w:r>
    </w:p>
    <w:p w14:paraId="3156A69C" w14:textId="7DCE4B7F" w:rsidR="000D141F" w:rsidRDefault="000D141F" w:rsidP="00AD37FB">
      <w:pPr>
        <w:rPr>
          <w:rFonts w:cs="Arial"/>
        </w:rPr>
      </w:pPr>
      <w:r>
        <w:rPr>
          <w:rFonts w:cs="Arial"/>
        </w:rPr>
        <w:br w:type="page"/>
      </w:r>
    </w:p>
    <w:p w14:paraId="64427554" w14:textId="77777777" w:rsidR="00AD37FB" w:rsidRPr="008F195E" w:rsidRDefault="00AD37FB" w:rsidP="00AD37FB">
      <w:pPr>
        <w:rPr>
          <w:rFonts w:cs="Arial"/>
        </w:rPr>
      </w:pPr>
      <w:r w:rsidRPr="008F195E">
        <w:rPr>
          <w:rFonts w:cs="Arial"/>
        </w:rPr>
        <w:lastRenderedPageBreak/>
        <w:t xml:space="preserve">For the same season of July 2015 – June 2016, no irradiated produce was imported from Thailand, Hawaii or Vietnam. </w:t>
      </w:r>
      <w:proofErr w:type="spellStart"/>
      <w:r>
        <w:rPr>
          <w:rFonts w:cs="Arial"/>
        </w:rPr>
        <w:t>Longan</w:t>
      </w:r>
      <w:proofErr w:type="spellEnd"/>
      <w:r>
        <w:rPr>
          <w:rFonts w:cs="Arial"/>
        </w:rPr>
        <w:t xml:space="preserve"> and litchi imported from Thailand were cold treated, and mangoes from Vietnam were treated by hot water dip. Papaya was not imported from Hawaii during this period.</w:t>
      </w:r>
    </w:p>
    <w:p w14:paraId="48D9F9C3" w14:textId="585A96D6" w:rsidR="00AD37FB" w:rsidRDefault="00AD37FB" w:rsidP="00082396">
      <w:pPr>
        <w:rPr>
          <w:rFonts w:cs="Arial"/>
          <w:color w:val="FF0000"/>
        </w:rPr>
        <w:sectPr w:rsidR="00AD37FB" w:rsidSect="007006F6">
          <w:footerReference w:type="default" r:id="rId20"/>
          <w:pgSz w:w="11906" w:h="16838"/>
          <w:pgMar w:top="1418" w:right="1418" w:bottom="1418" w:left="1418" w:header="709" w:footer="709" w:gutter="0"/>
          <w:pgNumType w:start="1"/>
          <w:cols w:space="708"/>
          <w:docGrid w:linePitch="360"/>
        </w:sectPr>
      </w:pPr>
    </w:p>
    <w:p w14:paraId="18234605" w14:textId="77777777" w:rsidR="00082396" w:rsidRDefault="00082396" w:rsidP="00082396">
      <w:pPr>
        <w:rPr>
          <w:rFonts w:cs="Arial"/>
        </w:rPr>
      </w:pPr>
    </w:p>
    <w:p w14:paraId="1C41EFFB" w14:textId="77777777" w:rsidR="00082396" w:rsidRDefault="00082396" w:rsidP="00082396">
      <w:pPr>
        <w:rPr>
          <w:rFonts w:cs="Arial"/>
        </w:rPr>
      </w:pPr>
      <w:r>
        <w:rPr>
          <w:noProof/>
          <w:lang w:eastAsia="en-GB" w:bidi="ar-SA"/>
        </w:rPr>
        <w:drawing>
          <wp:inline distT="0" distB="0" distL="0" distR="0" wp14:anchorId="6AA1903B" wp14:editId="309315AE">
            <wp:extent cx="8181975" cy="4562475"/>
            <wp:effectExtent l="0" t="0" r="9525" b="9525"/>
            <wp:docPr id="2" name="Chart 2" descr="This bar graph shows the volume (in tonnes) of Australian irradiated produce (mangoes, litchis, papaya, tomatoes and capsicums) imported into New Zealand by season from 2004 to 2016. " title="Figure 2. Australian irradiated produce imported into New Zealand by produce typ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C0E255" w14:textId="28ECBB52" w:rsidR="00082396" w:rsidRPr="000D141F" w:rsidRDefault="00082396" w:rsidP="00977F09">
      <w:pPr>
        <w:spacing w:before="120" w:after="120"/>
        <w:rPr>
          <w:rFonts w:cs="Arial"/>
          <w:b/>
        </w:rPr>
      </w:pPr>
      <w:proofErr w:type="gramStart"/>
      <w:r w:rsidRPr="000D141F">
        <w:rPr>
          <w:rFonts w:cs="Arial"/>
          <w:b/>
        </w:rPr>
        <w:t xml:space="preserve">Figure </w:t>
      </w:r>
      <w:r w:rsidR="006C1B70" w:rsidRPr="000D141F">
        <w:rPr>
          <w:rFonts w:cs="Arial"/>
          <w:b/>
        </w:rPr>
        <w:t>2</w:t>
      </w:r>
      <w:r w:rsidR="000D141F">
        <w:rPr>
          <w:rFonts w:cs="Arial"/>
          <w:b/>
        </w:rPr>
        <w:t>.</w:t>
      </w:r>
      <w:proofErr w:type="gramEnd"/>
      <w:r w:rsidR="00CF54AB" w:rsidRPr="000D141F">
        <w:rPr>
          <w:rFonts w:cs="Arial"/>
          <w:b/>
        </w:rPr>
        <w:tab/>
      </w:r>
      <w:r w:rsidRPr="000D141F">
        <w:rPr>
          <w:rFonts w:cs="Arial"/>
          <w:b/>
        </w:rPr>
        <w:t xml:space="preserve">Australian irradiated produce imported into New Zealand </w:t>
      </w:r>
    </w:p>
    <w:p w14:paraId="16B7A1CF" w14:textId="77777777" w:rsidR="00082396" w:rsidRDefault="00082396" w:rsidP="00082396">
      <w:pPr>
        <w:rPr>
          <w:rFonts w:cs="Arial"/>
        </w:rPr>
      </w:pPr>
    </w:p>
    <w:p w14:paraId="1DC74E41" w14:textId="77777777" w:rsidR="00082396" w:rsidRDefault="00082396" w:rsidP="00082396">
      <w:pPr>
        <w:rPr>
          <w:rFonts w:cs="Arial"/>
        </w:rPr>
      </w:pPr>
    </w:p>
    <w:p w14:paraId="0211D51B" w14:textId="77777777" w:rsidR="00082396" w:rsidRDefault="00082396" w:rsidP="00082396">
      <w:pPr>
        <w:rPr>
          <w:rFonts w:cs="Arial"/>
        </w:rPr>
        <w:sectPr w:rsidR="00082396" w:rsidSect="0068536E">
          <w:pgSz w:w="16838" w:h="11906" w:orient="landscape"/>
          <w:pgMar w:top="1418" w:right="1418" w:bottom="1418" w:left="1418" w:header="709" w:footer="709" w:gutter="0"/>
          <w:cols w:space="708"/>
          <w:docGrid w:linePitch="360"/>
        </w:sectPr>
      </w:pPr>
    </w:p>
    <w:p w14:paraId="4CED59C7" w14:textId="6B0E2235" w:rsidR="002D2FDD" w:rsidRDefault="00977F09" w:rsidP="002D2FDD">
      <w:pPr>
        <w:pStyle w:val="Heading2"/>
      </w:pPr>
      <w:bookmarkStart w:id="10" w:name="_Toc467141080"/>
      <w:r>
        <w:lastRenderedPageBreak/>
        <w:t>2</w:t>
      </w:r>
      <w:r w:rsidR="002D2FDD">
        <w:tab/>
      </w:r>
      <w:r w:rsidR="00395478">
        <w:t>Reasons for using i</w:t>
      </w:r>
      <w:r w:rsidR="002D2FDD">
        <w:t>rradiation as a treatment for food</w:t>
      </w:r>
      <w:bookmarkEnd w:id="10"/>
    </w:p>
    <w:p w14:paraId="1B2EFE93" w14:textId="15E6724B" w:rsidR="002D2FDD" w:rsidRDefault="002D2FDD" w:rsidP="002D2FDD">
      <w:r w:rsidRPr="006416F4">
        <w:t xml:space="preserve">A variety of processing methods are used to preserve foods and improve safety, such as drying, smoking, salting, pasteurisation, canning, refrigeration, freezing and chemical preservatives. Food irradiation is another effective food processing method that can be used </w:t>
      </w:r>
      <w:r w:rsidR="004A24AA">
        <w:t xml:space="preserve">to </w:t>
      </w:r>
      <w:r w:rsidRPr="006416F4">
        <w:t>preserve foods and improve safety</w:t>
      </w:r>
      <w:r w:rsidR="004A24AA">
        <w:t xml:space="preserve">. Specifically, irradiation </w:t>
      </w:r>
      <w:r w:rsidR="00DB5D38">
        <w:t xml:space="preserve">(if permitted) </w:t>
      </w:r>
      <w:r w:rsidR="004A24AA">
        <w:t>c</w:t>
      </w:r>
      <w:r w:rsidR="00DB5D38">
        <w:t>ould be used</w:t>
      </w:r>
      <w:r w:rsidRPr="006416F4">
        <w:t xml:space="preserve"> to:</w:t>
      </w:r>
    </w:p>
    <w:p w14:paraId="74E91388" w14:textId="77777777" w:rsidR="002D2FDD" w:rsidRPr="006416F4" w:rsidRDefault="002D2FDD" w:rsidP="002D2FDD"/>
    <w:p w14:paraId="2C9F4936" w14:textId="77777777" w:rsidR="002D2FDD" w:rsidRPr="006416F4" w:rsidRDefault="002D2FDD" w:rsidP="002D2FDD">
      <w:pPr>
        <w:pStyle w:val="FSBullet1"/>
        <w:widowControl/>
        <w:numPr>
          <w:ilvl w:val="0"/>
          <w:numId w:val="17"/>
        </w:numPr>
        <w:ind w:left="567" w:hanging="567"/>
      </w:pPr>
      <w:proofErr w:type="gramStart"/>
      <w:r w:rsidRPr="006416F4">
        <w:t>kill</w:t>
      </w:r>
      <w:proofErr w:type="gramEnd"/>
      <w:r w:rsidRPr="006416F4">
        <w:t xml:space="preserve"> or sterilise pests, such as fruit flies and other insect pests (e.g. mealy bugs, mango weevils), that are present in or on fresh produce. This allows fresh produce to be exported to Australian states and other countries that are fruit-fly free (and/or free of other regulated insect pests). Irradiation also decreases the need for other pest control practices that may damage the produce (such as heat/cold treatments).</w:t>
      </w:r>
    </w:p>
    <w:p w14:paraId="2219EA5B" w14:textId="77777777" w:rsidR="002D2FDD" w:rsidRPr="006416F4" w:rsidRDefault="002D2FDD" w:rsidP="002D2FDD">
      <w:pPr>
        <w:pStyle w:val="FSBullet1"/>
        <w:widowControl/>
        <w:numPr>
          <w:ilvl w:val="0"/>
          <w:numId w:val="17"/>
        </w:numPr>
        <w:ind w:left="567" w:hanging="567"/>
      </w:pPr>
      <w:r w:rsidRPr="006416F4">
        <w:t>extend the shelf life of foods by destroying organisms that cause spoilage or decomposition (e.g. moulds, bacteria, insects)</w:t>
      </w:r>
    </w:p>
    <w:p w14:paraId="5E686536" w14:textId="77777777" w:rsidR="002D2FDD" w:rsidRPr="006416F4" w:rsidRDefault="002D2FDD" w:rsidP="002D2FDD">
      <w:pPr>
        <w:pStyle w:val="FSBullet1"/>
        <w:widowControl/>
        <w:numPr>
          <w:ilvl w:val="0"/>
          <w:numId w:val="17"/>
        </w:numPr>
        <w:ind w:left="567" w:hanging="567"/>
      </w:pPr>
      <w:r w:rsidRPr="006416F4">
        <w:t>inhibit sprouting (e.g. potatoes) and delay ripening of fruit to extend its shelf life</w:t>
      </w:r>
    </w:p>
    <w:p w14:paraId="1C7823A0" w14:textId="77777777" w:rsidR="002D2FDD" w:rsidRPr="006416F4" w:rsidRDefault="002D2FDD" w:rsidP="002D2FDD">
      <w:pPr>
        <w:pStyle w:val="FSBullet1"/>
        <w:widowControl/>
        <w:numPr>
          <w:ilvl w:val="0"/>
          <w:numId w:val="17"/>
        </w:numPr>
        <w:ind w:left="567" w:hanging="567"/>
      </w:pPr>
      <w:r w:rsidRPr="006416F4">
        <w:t xml:space="preserve">prevent foodborne illness by destroying bacterial organisms such as </w:t>
      </w:r>
      <w:r w:rsidRPr="004A24AA">
        <w:t xml:space="preserve">Salmonella </w:t>
      </w:r>
      <w:r w:rsidRPr="006416F4">
        <w:t xml:space="preserve">and </w:t>
      </w:r>
      <w:r w:rsidRPr="006416F4">
        <w:rPr>
          <w:i/>
        </w:rPr>
        <w:t xml:space="preserve">Escherichia coli </w:t>
      </w:r>
      <w:r w:rsidRPr="004A24AA">
        <w:t>(E. coli)</w:t>
      </w:r>
    </w:p>
    <w:p w14:paraId="13ADE9D8" w14:textId="2AF47BF9" w:rsidR="002D2FDD" w:rsidRPr="006416F4" w:rsidRDefault="002D2FDD" w:rsidP="002D2FDD">
      <w:pPr>
        <w:pStyle w:val="FSBullet1"/>
        <w:widowControl/>
        <w:numPr>
          <w:ilvl w:val="0"/>
          <w:numId w:val="17"/>
        </w:numPr>
        <w:ind w:left="567" w:hanging="567"/>
      </w:pPr>
      <w:proofErr w:type="gramStart"/>
      <w:r w:rsidRPr="006416F4">
        <w:t>sterilise</w:t>
      </w:r>
      <w:proofErr w:type="gramEnd"/>
      <w:r w:rsidRPr="006416F4">
        <w:t xml:space="preserve"> foods used for medical purposes (e.g. food for immune-compromised patients)</w:t>
      </w:r>
      <w:r w:rsidR="00C004FC">
        <w:t xml:space="preserve">, noting that the US approves irradiation of foods </w:t>
      </w:r>
      <w:r w:rsidR="00B213C6">
        <w:t>sterilised for use by astronauts in space</w:t>
      </w:r>
      <w:r w:rsidR="00B213C6">
        <w:rPr>
          <w:rStyle w:val="FootnoteReference"/>
        </w:rPr>
        <w:footnoteReference w:id="4"/>
      </w:r>
      <w:r w:rsidR="00B213C6">
        <w:t xml:space="preserve">.   </w:t>
      </w:r>
    </w:p>
    <w:p w14:paraId="11F0B274" w14:textId="77777777" w:rsidR="002D2FDD" w:rsidRPr="006416F4" w:rsidRDefault="002D2FDD" w:rsidP="002D2FDD">
      <w:pPr>
        <w:rPr>
          <w:szCs w:val="22"/>
        </w:rPr>
      </w:pPr>
    </w:p>
    <w:p w14:paraId="59FABB58" w14:textId="77777777" w:rsidR="002D2FDD" w:rsidRPr="006416F4" w:rsidRDefault="002D2FDD" w:rsidP="002D2FDD">
      <w:pPr>
        <w:widowControl/>
        <w:autoSpaceDE w:val="0"/>
        <w:autoSpaceDN w:val="0"/>
        <w:adjustRightInd w:val="0"/>
        <w:rPr>
          <w:rFonts w:cs="Arial"/>
        </w:rPr>
      </w:pPr>
      <w:r w:rsidRPr="006416F4">
        <w:t>Like all preservation methods, irradiation should supplement rather than replace good food hygiene, handling, and preparation practices (</w:t>
      </w:r>
      <w:proofErr w:type="spellStart"/>
      <w:r w:rsidRPr="006416F4">
        <w:t>Groth</w:t>
      </w:r>
      <w:proofErr w:type="spellEnd"/>
      <w:r w:rsidRPr="006416F4">
        <w:t xml:space="preserve"> 2007; </w:t>
      </w:r>
      <w:r w:rsidRPr="006416F4">
        <w:rPr>
          <w:szCs w:val="22"/>
        </w:rPr>
        <w:t xml:space="preserve">Arvanitoyannis 2010; Follett and </w:t>
      </w:r>
      <w:proofErr w:type="spellStart"/>
      <w:r w:rsidRPr="006416F4">
        <w:rPr>
          <w:szCs w:val="22"/>
        </w:rPr>
        <w:t>Weinart</w:t>
      </w:r>
      <w:proofErr w:type="spellEnd"/>
      <w:r w:rsidRPr="006416F4">
        <w:rPr>
          <w:szCs w:val="22"/>
        </w:rPr>
        <w:t xml:space="preserve"> 2012).</w:t>
      </w:r>
    </w:p>
    <w:p w14:paraId="02F20972" w14:textId="77777777" w:rsidR="002D2FDD" w:rsidRPr="006416F4" w:rsidRDefault="002D2FDD" w:rsidP="002D2FDD">
      <w:pPr>
        <w:widowControl/>
        <w:autoSpaceDE w:val="0"/>
        <w:autoSpaceDN w:val="0"/>
        <w:adjustRightInd w:val="0"/>
        <w:rPr>
          <w:rFonts w:cs="Arial"/>
        </w:rPr>
      </w:pPr>
    </w:p>
    <w:p w14:paraId="19028E22" w14:textId="63F7758D" w:rsidR="002D2FDD" w:rsidRDefault="002D2FDD" w:rsidP="00DB5D38">
      <w:pPr>
        <w:rPr>
          <w:rFonts w:cs="Arial"/>
        </w:rPr>
      </w:pPr>
      <w:r w:rsidRPr="006416F4">
        <w:t>Irradiation is used as a treatment for food in more than 50 countries worldwide. In Australia, i</w:t>
      </w:r>
      <w:r w:rsidRPr="006416F4">
        <w:rPr>
          <w:szCs w:val="22"/>
        </w:rPr>
        <w:t xml:space="preserve">rradiation is typically used for fruit and vegetables as a final quarantine measure to ensure produce from fruit-fly infected areas does not pose a risk of introducing new species of fruit-fly into fruit-fly free areas of Australia and New Zealand and other countries the produce is exported to. Herbs and spices and herbal infusions </w:t>
      </w:r>
      <w:r w:rsidR="00082396">
        <w:rPr>
          <w:szCs w:val="22"/>
        </w:rPr>
        <w:t xml:space="preserve">may be </w:t>
      </w:r>
      <w:r w:rsidRPr="006416F4">
        <w:rPr>
          <w:szCs w:val="22"/>
        </w:rPr>
        <w:t>irradiated to control sprouting and pest infestation, including control of weeds, and also for bacterial decontamination purposes.</w:t>
      </w:r>
    </w:p>
    <w:p w14:paraId="67AA4465" w14:textId="6A87DE38" w:rsidR="00082396" w:rsidRPr="00681B00" w:rsidRDefault="00977F09" w:rsidP="00082396">
      <w:pPr>
        <w:pStyle w:val="Heading2"/>
      </w:pPr>
      <w:bookmarkStart w:id="11" w:name="_Toc440466202"/>
      <w:bookmarkStart w:id="12" w:name="_Toc467141081"/>
      <w:r>
        <w:t>3</w:t>
      </w:r>
      <w:r w:rsidR="00082396">
        <w:tab/>
      </w:r>
      <w:r w:rsidR="00082396" w:rsidRPr="00681B00">
        <w:t xml:space="preserve">Permissions </w:t>
      </w:r>
      <w:r w:rsidR="00082396">
        <w:t xml:space="preserve">for </w:t>
      </w:r>
      <w:r w:rsidR="00082396" w:rsidRPr="00681B00">
        <w:t xml:space="preserve">and purpose </w:t>
      </w:r>
      <w:r w:rsidR="00082396">
        <w:t>of</w:t>
      </w:r>
      <w:r w:rsidR="00082396" w:rsidRPr="00681B00">
        <w:t xml:space="preserve"> irradiating food in Australia and New Zealand</w:t>
      </w:r>
      <w:bookmarkEnd w:id="11"/>
      <w:bookmarkEnd w:id="12"/>
    </w:p>
    <w:p w14:paraId="0A0EB51B" w14:textId="4A140B5B" w:rsidR="00082396" w:rsidRDefault="00082396" w:rsidP="00082396">
      <w:pPr>
        <w:widowControl/>
        <w:rPr>
          <w:rFonts w:cs="Arial"/>
          <w:szCs w:val="22"/>
          <w:lang w:val="en-AU" w:eastAsia="en-AU" w:bidi="ar-SA"/>
        </w:rPr>
      </w:pPr>
      <w:r>
        <w:rPr>
          <w:rFonts w:cs="Arial"/>
          <w:szCs w:val="22"/>
          <w:lang w:val="en-AU" w:eastAsia="en-AU" w:bidi="ar-SA"/>
        </w:rPr>
        <w:t>Foods permitted to be irradiated in Australia and New Zealand</w:t>
      </w:r>
      <w:r w:rsidR="008D0C01">
        <w:rPr>
          <w:rFonts w:cs="Arial"/>
          <w:szCs w:val="22"/>
          <w:lang w:val="en-AU" w:eastAsia="en-AU" w:bidi="ar-SA"/>
        </w:rPr>
        <w:t xml:space="preserve"> under the </w:t>
      </w:r>
      <w:r w:rsidR="008D0C01" w:rsidRPr="004D38DF">
        <w:rPr>
          <w:rFonts w:cs="Arial"/>
          <w:i/>
          <w:szCs w:val="22"/>
          <w:lang w:val="en-AU" w:eastAsia="en-AU" w:bidi="ar-SA"/>
        </w:rPr>
        <w:t>Australia New Zealand Food Standards Code</w:t>
      </w:r>
      <w:r w:rsidR="008D0C01">
        <w:rPr>
          <w:rFonts w:cs="Arial"/>
          <w:szCs w:val="22"/>
          <w:lang w:val="en-AU" w:eastAsia="en-AU" w:bidi="ar-SA"/>
        </w:rPr>
        <w:t xml:space="preserve"> (the Code)</w:t>
      </w:r>
      <w:r>
        <w:rPr>
          <w:rFonts w:cs="Arial"/>
          <w:szCs w:val="22"/>
          <w:lang w:val="en-AU" w:eastAsia="en-AU" w:bidi="ar-SA"/>
        </w:rPr>
        <w:t xml:space="preserve">, and the purpose for which irradiation may be used as a treatment for these foods, are </w:t>
      </w:r>
      <w:r w:rsidRPr="006C1B70">
        <w:rPr>
          <w:rFonts w:cs="Arial"/>
          <w:szCs w:val="22"/>
          <w:lang w:val="en-AU" w:eastAsia="en-AU" w:bidi="ar-SA"/>
        </w:rPr>
        <w:t xml:space="preserve">shown below in Table </w:t>
      </w:r>
      <w:r w:rsidR="00977F09">
        <w:rPr>
          <w:rFonts w:cs="Arial"/>
          <w:szCs w:val="22"/>
          <w:lang w:val="en-AU" w:eastAsia="en-AU" w:bidi="ar-SA"/>
        </w:rPr>
        <w:t>1</w:t>
      </w:r>
      <w:r w:rsidRPr="006C1B70">
        <w:rPr>
          <w:rFonts w:cs="Arial"/>
          <w:szCs w:val="22"/>
          <w:lang w:val="en-AU" w:eastAsia="en-AU" w:bidi="ar-SA"/>
        </w:rPr>
        <w:t>.</w:t>
      </w:r>
    </w:p>
    <w:p w14:paraId="71467B30" w14:textId="77777777" w:rsidR="00082396" w:rsidRDefault="00082396" w:rsidP="00082396">
      <w:pPr>
        <w:widowControl/>
        <w:rPr>
          <w:rFonts w:cs="Arial"/>
          <w:szCs w:val="22"/>
          <w:lang w:val="en-AU" w:eastAsia="en-AU" w:bidi="ar-SA"/>
        </w:rPr>
      </w:pPr>
    </w:p>
    <w:p w14:paraId="2BA80AA0" w14:textId="3B9A0E81" w:rsidR="00082396" w:rsidRDefault="00082396" w:rsidP="00DB5D38">
      <w:pPr>
        <w:keepNext/>
        <w:widowControl/>
        <w:spacing w:before="120" w:after="120"/>
        <w:rPr>
          <w:rFonts w:cs="Arial"/>
          <w:szCs w:val="22"/>
          <w:lang w:val="en-AU" w:eastAsia="en-AU" w:bidi="ar-SA"/>
        </w:rPr>
      </w:pPr>
      <w:r w:rsidRPr="00DB5D38">
        <w:rPr>
          <w:rFonts w:cs="Arial"/>
          <w:b/>
          <w:i/>
          <w:szCs w:val="22"/>
          <w:lang w:val="en-AU" w:eastAsia="en-AU" w:bidi="ar-SA"/>
        </w:rPr>
        <w:lastRenderedPageBreak/>
        <w:t xml:space="preserve">Table </w:t>
      </w:r>
      <w:r w:rsidR="00977F09">
        <w:rPr>
          <w:rFonts w:cs="Arial"/>
          <w:b/>
          <w:i/>
          <w:szCs w:val="22"/>
          <w:lang w:val="en-AU" w:eastAsia="en-AU" w:bidi="ar-SA"/>
        </w:rPr>
        <w:t>1:</w:t>
      </w:r>
      <w:r w:rsidRPr="00DB5D38">
        <w:rPr>
          <w:rFonts w:cs="Arial"/>
          <w:b/>
          <w:i/>
          <w:szCs w:val="22"/>
          <w:lang w:val="en-AU" w:eastAsia="en-AU" w:bidi="ar-SA"/>
        </w:rPr>
        <w:t xml:space="preserve">  </w:t>
      </w:r>
      <w:r w:rsidRPr="00DB5D38">
        <w:rPr>
          <w:rFonts w:cs="Arial"/>
          <w:i/>
          <w:szCs w:val="22"/>
          <w:lang w:val="en-AU" w:eastAsia="en-AU" w:bidi="ar-SA"/>
        </w:rPr>
        <w:t>Foods permitted to be irradiated in Australia and New Zealand and the purpose of irradiation</w:t>
      </w:r>
    </w:p>
    <w:tbl>
      <w:tblPr>
        <w:tblW w:w="8869" w:type="dxa"/>
        <w:tblLayout w:type="fixed"/>
        <w:tblCellMar>
          <w:left w:w="80" w:type="dxa"/>
          <w:right w:w="80" w:type="dxa"/>
        </w:tblCellMar>
        <w:tblLook w:val="0000" w:firstRow="0" w:lastRow="0" w:firstColumn="0" w:lastColumn="0" w:noHBand="0" w:noVBand="0"/>
      </w:tblPr>
      <w:tblGrid>
        <w:gridCol w:w="3360"/>
        <w:gridCol w:w="2000"/>
        <w:gridCol w:w="3509"/>
      </w:tblGrid>
      <w:tr w:rsidR="00082396" w:rsidRPr="00A437D9" w14:paraId="4BA54BA0" w14:textId="77777777" w:rsidTr="006C1B70">
        <w:tc>
          <w:tcPr>
            <w:tcW w:w="3360" w:type="dxa"/>
            <w:tcBorders>
              <w:top w:val="single" w:sz="6" w:space="0" w:color="auto"/>
              <w:left w:val="single" w:sz="6" w:space="0" w:color="auto"/>
              <w:bottom w:val="single" w:sz="6" w:space="0" w:color="auto"/>
              <w:right w:val="single" w:sz="6" w:space="0" w:color="auto"/>
            </w:tcBorders>
          </w:tcPr>
          <w:p w14:paraId="68AC773C" w14:textId="77777777" w:rsidR="00082396" w:rsidRPr="00A437D9" w:rsidRDefault="00082396" w:rsidP="006C1B70">
            <w:pPr>
              <w:pStyle w:val="Table1"/>
              <w:widowControl/>
            </w:pPr>
            <w:r w:rsidRPr="00A437D9">
              <w:t>Food</w:t>
            </w:r>
          </w:p>
        </w:tc>
        <w:tc>
          <w:tcPr>
            <w:tcW w:w="2000" w:type="dxa"/>
            <w:tcBorders>
              <w:top w:val="single" w:sz="6" w:space="0" w:color="auto"/>
              <w:left w:val="single" w:sz="6" w:space="0" w:color="auto"/>
              <w:bottom w:val="single" w:sz="6" w:space="0" w:color="auto"/>
              <w:right w:val="single" w:sz="6" w:space="0" w:color="auto"/>
            </w:tcBorders>
          </w:tcPr>
          <w:p w14:paraId="3B673434" w14:textId="77777777" w:rsidR="00082396" w:rsidRPr="00A437D9" w:rsidRDefault="00082396" w:rsidP="006C1B70">
            <w:pPr>
              <w:pStyle w:val="Table1"/>
              <w:widowControl/>
            </w:pPr>
            <w:r w:rsidRPr="00A437D9">
              <w:t>Minimum and Maximum Dose</w:t>
            </w:r>
          </w:p>
          <w:p w14:paraId="014A8EF4" w14:textId="47AD988B" w:rsidR="00082396" w:rsidRPr="00C122A7" w:rsidRDefault="00082396" w:rsidP="006C1B70">
            <w:pPr>
              <w:pStyle w:val="Table1"/>
              <w:widowControl/>
              <w:rPr>
                <w:vertAlign w:val="superscript"/>
              </w:rPr>
            </w:pPr>
            <w:r w:rsidRPr="00A437D9">
              <w:t>(</w:t>
            </w:r>
            <w:proofErr w:type="spellStart"/>
            <w:r w:rsidRPr="00A437D9">
              <w:t>kGy</w:t>
            </w:r>
            <w:proofErr w:type="spellEnd"/>
            <w:r w:rsidRPr="00A437D9">
              <w:t>)</w:t>
            </w:r>
            <w:r w:rsidR="00C122A7">
              <w:rPr>
                <w:vertAlign w:val="superscript"/>
              </w:rPr>
              <w:t>1</w:t>
            </w:r>
          </w:p>
        </w:tc>
        <w:tc>
          <w:tcPr>
            <w:tcW w:w="3509" w:type="dxa"/>
            <w:tcBorders>
              <w:top w:val="single" w:sz="6" w:space="0" w:color="auto"/>
              <w:left w:val="single" w:sz="6" w:space="0" w:color="auto"/>
              <w:bottom w:val="single" w:sz="6" w:space="0" w:color="auto"/>
              <w:right w:val="single" w:sz="6" w:space="0" w:color="auto"/>
            </w:tcBorders>
          </w:tcPr>
          <w:p w14:paraId="245AD4E0" w14:textId="77777777" w:rsidR="00082396" w:rsidRPr="00A437D9" w:rsidRDefault="00082396" w:rsidP="006C1B70">
            <w:pPr>
              <w:pStyle w:val="Table1"/>
              <w:widowControl/>
            </w:pPr>
            <w:r w:rsidRPr="00A437D9">
              <w:t>Purpose</w:t>
            </w:r>
          </w:p>
        </w:tc>
      </w:tr>
      <w:tr w:rsidR="00082396" w:rsidRPr="00A437D9" w14:paraId="4C827938" w14:textId="77777777" w:rsidTr="006C1B70">
        <w:tc>
          <w:tcPr>
            <w:tcW w:w="3360" w:type="dxa"/>
            <w:tcBorders>
              <w:top w:val="single" w:sz="6" w:space="0" w:color="auto"/>
              <w:left w:val="single" w:sz="6" w:space="0" w:color="auto"/>
              <w:bottom w:val="single" w:sz="6" w:space="0" w:color="auto"/>
              <w:right w:val="single" w:sz="6" w:space="0" w:color="auto"/>
            </w:tcBorders>
          </w:tcPr>
          <w:p w14:paraId="1F530B96" w14:textId="77777777" w:rsidR="00082396" w:rsidRPr="00E30F7A" w:rsidRDefault="00082396" w:rsidP="006C1B70">
            <w:pPr>
              <w:keepNext/>
              <w:widowControl/>
              <w:ind w:left="142" w:hanging="142"/>
              <w:rPr>
                <w:bCs/>
                <w:sz w:val="18"/>
                <w:szCs w:val="20"/>
              </w:rPr>
            </w:pPr>
            <w:r w:rsidRPr="00E30F7A">
              <w:rPr>
                <w:bCs/>
                <w:sz w:val="18"/>
                <w:szCs w:val="20"/>
              </w:rPr>
              <w:t>Apple</w:t>
            </w:r>
          </w:p>
          <w:p w14:paraId="4FF03C2D" w14:textId="77777777" w:rsidR="00082396" w:rsidRPr="00E30F7A" w:rsidRDefault="00082396" w:rsidP="006C1B70">
            <w:pPr>
              <w:keepNext/>
              <w:widowControl/>
              <w:ind w:left="142" w:hanging="142"/>
              <w:rPr>
                <w:bCs/>
                <w:sz w:val="18"/>
                <w:szCs w:val="20"/>
              </w:rPr>
            </w:pPr>
            <w:r w:rsidRPr="00E30F7A">
              <w:rPr>
                <w:bCs/>
                <w:sz w:val="18"/>
                <w:szCs w:val="20"/>
              </w:rPr>
              <w:t>Apricot</w:t>
            </w:r>
          </w:p>
          <w:p w14:paraId="4E417D83" w14:textId="77777777" w:rsidR="00082396" w:rsidRPr="00E30F7A" w:rsidRDefault="00082396" w:rsidP="006C1B70">
            <w:pPr>
              <w:keepNext/>
              <w:widowControl/>
              <w:ind w:left="142" w:hanging="142"/>
              <w:rPr>
                <w:bCs/>
                <w:sz w:val="18"/>
                <w:szCs w:val="20"/>
              </w:rPr>
            </w:pPr>
            <w:r w:rsidRPr="00E30F7A">
              <w:rPr>
                <w:bCs/>
                <w:sz w:val="18"/>
                <w:szCs w:val="20"/>
              </w:rPr>
              <w:t>Bread fruit</w:t>
            </w:r>
          </w:p>
          <w:p w14:paraId="4178EB66" w14:textId="77777777" w:rsidR="00082396" w:rsidRPr="00E30F7A" w:rsidRDefault="00082396" w:rsidP="006C1B70">
            <w:pPr>
              <w:keepNext/>
              <w:widowControl/>
              <w:ind w:left="142" w:hanging="142"/>
              <w:rPr>
                <w:bCs/>
                <w:sz w:val="18"/>
                <w:szCs w:val="20"/>
              </w:rPr>
            </w:pPr>
            <w:r w:rsidRPr="00E30F7A">
              <w:rPr>
                <w:bCs/>
                <w:sz w:val="18"/>
                <w:szCs w:val="20"/>
              </w:rPr>
              <w:t>Capsicum</w:t>
            </w:r>
          </w:p>
          <w:p w14:paraId="56EB759B" w14:textId="77777777" w:rsidR="00082396" w:rsidRPr="00E30F7A" w:rsidRDefault="00082396" w:rsidP="006C1B70">
            <w:pPr>
              <w:keepNext/>
              <w:widowControl/>
              <w:ind w:left="142" w:hanging="142"/>
              <w:rPr>
                <w:bCs/>
                <w:sz w:val="18"/>
                <w:szCs w:val="20"/>
              </w:rPr>
            </w:pPr>
            <w:r w:rsidRPr="00E30F7A">
              <w:rPr>
                <w:bCs/>
                <w:sz w:val="18"/>
                <w:szCs w:val="20"/>
              </w:rPr>
              <w:t>Carambola</w:t>
            </w:r>
          </w:p>
          <w:p w14:paraId="220B9513" w14:textId="77777777" w:rsidR="00082396" w:rsidRPr="00E30F7A" w:rsidRDefault="00082396" w:rsidP="006C1B70">
            <w:pPr>
              <w:keepNext/>
              <w:widowControl/>
              <w:ind w:left="142" w:hanging="142"/>
              <w:rPr>
                <w:bCs/>
                <w:sz w:val="18"/>
                <w:szCs w:val="20"/>
              </w:rPr>
            </w:pPr>
            <w:r w:rsidRPr="00E30F7A">
              <w:rPr>
                <w:bCs/>
                <w:sz w:val="18"/>
                <w:szCs w:val="20"/>
              </w:rPr>
              <w:t>Cherry</w:t>
            </w:r>
          </w:p>
          <w:p w14:paraId="3162C49B" w14:textId="77777777" w:rsidR="00082396" w:rsidRPr="00E30F7A" w:rsidRDefault="00082396" w:rsidP="006C1B70">
            <w:pPr>
              <w:keepNext/>
              <w:widowControl/>
              <w:ind w:left="142" w:hanging="142"/>
              <w:rPr>
                <w:bCs/>
                <w:sz w:val="18"/>
                <w:szCs w:val="20"/>
              </w:rPr>
            </w:pPr>
            <w:r w:rsidRPr="00E30F7A">
              <w:rPr>
                <w:bCs/>
                <w:sz w:val="18"/>
                <w:szCs w:val="20"/>
              </w:rPr>
              <w:t>Custard apple</w:t>
            </w:r>
          </w:p>
          <w:p w14:paraId="351D4BD2" w14:textId="77777777" w:rsidR="00082396" w:rsidRPr="00E30F7A" w:rsidRDefault="00082396" w:rsidP="006C1B70">
            <w:pPr>
              <w:keepNext/>
              <w:widowControl/>
              <w:ind w:left="142" w:hanging="142"/>
              <w:rPr>
                <w:bCs/>
                <w:sz w:val="18"/>
                <w:szCs w:val="20"/>
              </w:rPr>
            </w:pPr>
            <w:r w:rsidRPr="00E30F7A">
              <w:rPr>
                <w:bCs/>
                <w:sz w:val="18"/>
                <w:szCs w:val="20"/>
              </w:rPr>
              <w:t>Honeydew</w:t>
            </w:r>
          </w:p>
          <w:p w14:paraId="3FF28524" w14:textId="77777777" w:rsidR="00082396" w:rsidRPr="00E30F7A" w:rsidRDefault="00082396" w:rsidP="006C1B70">
            <w:pPr>
              <w:keepNext/>
              <w:widowControl/>
              <w:ind w:left="142" w:hanging="142"/>
              <w:rPr>
                <w:bCs/>
                <w:sz w:val="18"/>
                <w:szCs w:val="20"/>
              </w:rPr>
            </w:pPr>
            <w:r w:rsidRPr="00E30F7A">
              <w:rPr>
                <w:bCs/>
                <w:sz w:val="18"/>
                <w:szCs w:val="20"/>
              </w:rPr>
              <w:t>Litchi</w:t>
            </w:r>
          </w:p>
          <w:p w14:paraId="55EA855A" w14:textId="77777777" w:rsidR="00082396" w:rsidRPr="00E30F7A" w:rsidRDefault="00082396" w:rsidP="006C1B70">
            <w:pPr>
              <w:keepNext/>
              <w:widowControl/>
              <w:ind w:left="142" w:hanging="142"/>
              <w:rPr>
                <w:bCs/>
                <w:sz w:val="18"/>
                <w:szCs w:val="20"/>
              </w:rPr>
            </w:pPr>
            <w:proofErr w:type="spellStart"/>
            <w:r w:rsidRPr="00E30F7A">
              <w:rPr>
                <w:bCs/>
                <w:sz w:val="18"/>
                <w:szCs w:val="20"/>
              </w:rPr>
              <w:t>Longan</w:t>
            </w:r>
            <w:proofErr w:type="spellEnd"/>
            <w:r w:rsidRPr="00E30F7A">
              <w:rPr>
                <w:bCs/>
                <w:sz w:val="18"/>
                <w:szCs w:val="20"/>
              </w:rPr>
              <w:t xml:space="preserve"> </w:t>
            </w:r>
          </w:p>
          <w:p w14:paraId="210AAE48" w14:textId="77777777" w:rsidR="00082396" w:rsidRPr="00E30F7A" w:rsidRDefault="00082396" w:rsidP="006C1B70">
            <w:pPr>
              <w:keepNext/>
              <w:widowControl/>
              <w:ind w:left="142" w:hanging="142"/>
              <w:rPr>
                <w:bCs/>
                <w:sz w:val="18"/>
                <w:szCs w:val="20"/>
              </w:rPr>
            </w:pPr>
            <w:r w:rsidRPr="00E30F7A">
              <w:rPr>
                <w:bCs/>
                <w:sz w:val="18"/>
                <w:szCs w:val="20"/>
              </w:rPr>
              <w:t>Mango</w:t>
            </w:r>
          </w:p>
          <w:p w14:paraId="31CCB8CE" w14:textId="77777777" w:rsidR="00082396" w:rsidRPr="00E30F7A" w:rsidRDefault="00082396" w:rsidP="006C1B70">
            <w:pPr>
              <w:keepNext/>
              <w:widowControl/>
              <w:ind w:left="142" w:hanging="142"/>
              <w:rPr>
                <w:bCs/>
                <w:sz w:val="18"/>
                <w:szCs w:val="20"/>
              </w:rPr>
            </w:pPr>
            <w:proofErr w:type="spellStart"/>
            <w:r w:rsidRPr="00E30F7A">
              <w:rPr>
                <w:bCs/>
                <w:sz w:val="18"/>
                <w:szCs w:val="20"/>
              </w:rPr>
              <w:t>Mangosteen</w:t>
            </w:r>
            <w:proofErr w:type="spellEnd"/>
          </w:p>
          <w:p w14:paraId="15DA769A" w14:textId="77777777" w:rsidR="00082396" w:rsidRPr="00E30F7A" w:rsidRDefault="00082396" w:rsidP="006C1B70">
            <w:pPr>
              <w:keepNext/>
              <w:widowControl/>
              <w:ind w:left="142" w:hanging="142"/>
              <w:rPr>
                <w:bCs/>
                <w:sz w:val="18"/>
                <w:szCs w:val="20"/>
              </w:rPr>
            </w:pPr>
            <w:r w:rsidRPr="00E30F7A">
              <w:rPr>
                <w:bCs/>
                <w:sz w:val="18"/>
                <w:szCs w:val="20"/>
              </w:rPr>
              <w:t>Nectarine</w:t>
            </w:r>
          </w:p>
          <w:p w14:paraId="7904BB86" w14:textId="65303F52" w:rsidR="00082396" w:rsidRPr="00E30F7A" w:rsidRDefault="006D6F76" w:rsidP="006C1B70">
            <w:pPr>
              <w:keepNext/>
              <w:widowControl/>
              <w:ind w:left="142" w:hanging="142"/>
              <w:rPr>
                <w:bCs/>
                <w:sz w:val="18"/>
                <w:szCs w:val="20"/>
              </w:rPr>
            </w:pPr>
            <w:r>
              <w:rPr>
                <w:bCs/>
                <w:sz w:val="18"/>
                <w:szCs w:val="20"/>
              </w:rPr>
              <w:t>Papaya (p</w:t>
            </w:r>
            <w:r w:rsidR="00082396" w:rsidRPr="00E30F7A">
              <w:rPr>
                <w:bCs/>
                <w:sz w:val="18"/>
                <w:szCs w:val="20"/>
              </w:rPr>
              <w:t>aw paw)</w:t>
            </w:r>
          </w:p>
          <w:p w14:paraId="459AEBC1" w14:textId="77777777" w:rsidR="00082396" w:rsidRPr="00E30F7A" w:rsidRDefault="00082396" w:rsidP="006C1B70">
            <w:pPr>
              <w:keepNext/>
              <w:widowControl/>
              <w:ind w:left="142" w:hanging="142"/>
              <w:rPr>
                <w:bCs/>
                <w:sz w:val="18"/>
                <w:szCs w:val="20"/>
              </w:rPr>
            </w:pPr>
            <w:r w:rsidRPr="00E30F7A">
              <w:rPr>
                <w:bCs/>
                <w:sz w:val="18"/>
                <w:szCs w:val="20"/>
              </w:rPr>
              <w:t>Peach</w:t>
            </w:r>
          </w:p>
          <w:p w14:paraId="6353307D" w14:textId="77777777" w:rsidR="00082396" w:rsidRPr="00E30F7A" w:rsidRDefault="00082396" w:rsidP="006C1B70">
            <w:pPr>
              <w:keepNext/>
              <w:widowControl/>
              <w:ind w:left="142" w:hanging="142"/>
              <w:rPr>
                <w:bCs/>
                <w:sz w:val="18"/>
                <w:szCs w:val="20"/>
              </w:rPr>
            </w:pPr>
            <w:r w:rsidRPr="00E30F7A">
              <w:rPr>
                <w:bCs/>
                <w:sz w:val="18"/>
                <w:szCs w:val="20"/>
              </w:rPr>
              <w:t>Persimmon</w:t>
            </w:r>
          </w:p>
          <w:p w14:paraId="09782266" w14:textId="77777777" w:rsidR="00082396" w:rsidRPr="00E30F7A" w:rsidRDefault="00082396" w:rsidP="006C1B70">
            <w:pPr>
              <w:keepNext/>
              <w:widowControl/>
              <w:ind w:left="142" w:hanging="142"/>
              <w:rPr>
                <w:bCs/>
                <w:sz w:val="18"/>
                <w:szCs w:val="20"/>
              </w:rPr>
            </w:pPr>
            <w:r w:rsidRPr="00E30F7A">
              <w:rPr>
                <w:bCs/>
                <w:sz w:val="18"/>
                <w:szCs w:val="20"/>
              </w:rPr>
              <w:t>Plum</w:t>
            </w:r>
          </w:p>
          <w:p w14:paraId="60CC679D" w14:textId="77777777" w:rsidR="00082396" w:rsidRPr="00E30F7A" w:rsidRDefault="00082396" w:rsidP="006C1B70">
            <w:pPr>
              <w:keepNext/>
              <w:widowControl/>
              <w:ind w:left="142" w:hanging="142"/>
              <w:rPr>
                <w:bCs/>
                <w:sz w:val="18"/>
                <w:szCs w:val="20"/>
              </w:rPr>
            </w:pPr>
            <w:proofErr w:type="spellStart"/>
            <w:r w:rsidRPr="00E30F7A">
              <w:rPr>
                <w:bCs/>
                <w:sz w:val="18"/>
                <w:szCs w:val="20"/>
              </w:rPr>
              <w:t>Rambutan</w:t>
            </w:r>
            <w:proofErr w:type="spellEnd"/>
          </w:p>
          <w:p w14:paraId="1CAFD398" w14:textId="77777777" w:rsidR="00082396" w:rsidRPr="00E30F7A" w:rsidRDefault="00082396" w:rsidP="006C1B70">
            <w:pPr>
              <w:keepNext/>
              <w:widowControl/>
              <w:ind w:left="142" w:hanging="142"/>
              <w:rPr>
                <w:bCs/>
                <w:sz w:val="18"/>
                <w:szCs w:val="20"/>
              </w:rPr>
            </w:pPr>
            <w:proofErr w:type="spellStart"/>
            <w:r w:rsidRPr="00E30F7A">
              <w:rPr>
                <w:bCs/>
                <w:sz w:val="18"/>
                <w:szCs w:val="20"/>
              </w:rPr>
              <w:t>Rockmelon</w:t>
            </w:r>
            <w:proofErr w:type="spellEnd"/>
          </w:p>
          <w:p w14:paraId="205534BB" w14:textId="77777777" w:rsidR="00082396" w:rsidRPr="00E30F7A" w:rsidRDefault="00082396" w:rsidP="006C1B70">
            <w:pPr>
              <w:keepNext/>
              <w:widowControl/>
              <w:ind w:left="142" w:hanging="142"/>
              <w:rPr>
                <w:bCs/>
                <w:sz w:val="18"/>
                <w:szCs w:val="20"/>
              </w:rPr>
            </w:pPr>
            <w:proofErr w:type="spellStart"/>
            <w:r w:rsidRPr="00E30F7A">
              <w:rPr>
                <w:bCs/>
                <w:sz w:val="18"/>
                <w:szCs w:val="20"/>
              </w:rPr>
              <w:t>Scallopini</w:t>
            </w:r>
            <w:proofErr w:type="spellEnd"/>
            <w:r w:rsidRPr="00E30F7A">
              <w:rPr>
                <w:bCs/>
                <w:sz w:val="18"/>
                <w:szCs w:val="20"/>
              </w:rPr>
              <w:t xml:space="preserve"> </w:t>
            </w:r>
          </w:p>
          <w:p w14:paraId="7FD49A7C" w14:textId="77777777" w:rsidR="00082396" w:rsidRPr="00E30F7A" w:rsidRDefault="00082396" w:rsidP="006C1B70">
            <w:pPr>
              <w:keepNext/>
              <w:widowControl/>
              <w:ind w:left="142" w:hanging="142"/>
              <w:rPr>
                <w:bCs/>
                <w:sz w:val="18"/>
                <w:szCs w:val="20"/>
              </w:rPr>
            </w:pPr>
            <w:r w:rsidRPr="00E30F7A">
              <w:rPr>
                <w:bCs/>
                <w:sz w:val="18"/>
                <w:szCs w:val="20"/>
              </w:rPr>
              <w:t>Strawberry</w:t>
            </w:r>
          </w:p>
          <w:p w14:paraId="1A377BDD" w14:textId="4E0847C9" w:rsidR="00082396" w:rsidRPr="00E30F7A" w:rsidRDefault="006D6F76" w:rsidP="006C1B70">
            <w:pPr>
              <w:keepNext/>
              <w:widowControl/>
              <w:ind w:left="142" w:hanging="142"/>
              <w:rPr>
                <w:bCs/>
                <w:sz w:val="18"/>
                <w:szCs w:val="20"/>
              </w:rPr>
            </w:pPr>
            <w:r>
              <w:rPr>
                <w:bCs/>
                <w:sz w:val="18"/>
                <w:szCs w:val="20"/>
              </w:rPr>
              <w:t>Table g</w:t>
            </w:r>
            <w:r w:rsidR="00082396" w:rsidRPr="00E30F7A">
              <w:rPr>
                <w:bCs/>
                <w:sz w:val="18"/>
                <w:szCs w:val="20"/>
              </w:rPr>
              <w:t>rape</w:t>
            </w:r>
          </w:p>
          <w:p w14:paraId="5D9787A7" w14:textId="77777777" w:rsidR="00082396" w:rsidRPr="00E30F7A" w:rsidRDefault="00082396" w:rsidP="006C1B70">
            <w:pPr>
              <w:keepNext/>
              <w:widowControl/>
              <w:ind w:left="142" w:hanging="142"/>
              <w:rPr>
                <w:bCs/>
                <w:sz w:val="18"/>
                <w:szCs w:val="20"/>
              </w:rPr>
            </w:pPr>
            <w:r w:rsidRPr="00E30F7A">
              <w:rPr>
                <w:bCs/>
                <w:sz w:val="18"/>
                <w:szCs w:val="20"/>
              </w:rPr>
              <w:t>Tomato</w:t>
            </w:r>
          </w:p>
          <w:p w14:paraId="193BFE9E" w14:textId="77777777" w:rsidR="00082396" w:rsidRPr="00E30F7A" w:rsidRDefault="00082396" w:rsidP="006C1B70">
            <w:pPr>
              <w:pStyle w:val="Table2"/>
              <w:keepNext/>
              <w:widowControl/>
            </w:pPr>
            <w:r w:rsidRPr="00E30F7A">
              <w:t>Zucchini (courgette)</w:t>
            </w:r>
          </w:p>
        </w:tc>
        <w:tc>
          <w:tcPr>
            <w:tcW w:w="2000" w:type="dxa"/>
            <w:tcBorders>
              <w:top w:val="single" w:sz="6" w:space="0" w:color="auto"/>
              <w:left w:val="single" w:sz="6" w:space="0" w:color="auto"/>
              <w:bottom w:val="single" w:sz="6" w:space="0" w:color="auto"/>
              <w:right w:val="single" w:sz="6" w:space="0" w:color="auto"/>
            </w:tcBorders>
          </w:tcPr>
          <w:p w14:paraId="2DA3AAEC" w14:textId="77777777" w:rsidR="00082396" w:rsidRPr="00A437D9" w:rsidRDefault="00082396" w:rsidP="006C1B70">
            <w:pPr>
              <w:pStyle w:val="Table2"/>
              <w:keepNext/>
              <w:widowControl/>
            </w:pPr>
            <w:r w:rsidRPr="00A437D9">
              <w:t xml:space="preserve">Minimum: 150 </w:t>
            </w:r>
            <w:proofErr w:type="spellStart"/>
            <w:r w:rsidRPr="00A437D9">
              <w:t>Gy</w:t>
            </w:r>
            <w:proofErr w:type="spellEnd"/>
            <w:r w:rsidRPr="00A437D9">
              <w:t xml:space="preserve"> </w:t>
            </w:r>
          </w:p>
          <w:p w14:paraId="7AE0EA0F" w14:textId="77777777" w:rsidR="00082396" w:rsidRPr="00A437D9" w:rsidRDefault="00082396" w:rsidP="006C1B70">
            <w:pPr>
              <w:pStyle w:val="Table2"/>
              <w:keepNext/>
              <w:widowControl/>
            </w:pPr>
            <w:r w:rsidRPr="00A437D9">
              <w:t xml:space="preserve">Maximum: 1 </w:t>
            </w:r>
            <w:proofErr w:type="spellStart"/>
            <w:r w:rsidRPr="00A437D9">
              <w:t>kGy</w:t>
            </w:r>
            <w:proofErr w:type="spellEnd"/>
            <w:r w:rsidRPr="00A437D9">
              <w:t xml:space="preserve"> </w:t>
            </w:r>
          </w:p>
        </w:tc>
        <w:tc>
          <w:tcPr>
            <w:tcW w:w="3509" w:type="dxa"/>
            <w:tcBorders>
              <w:top w:val="single" w:sz="6" w:space="0" w:color="auto"/>
              <w:left w:val="single" w:sz="6" w:space="0" w:color="auto"/>
              <w:bottom w:val="single" w:sz="6" w:space="0" w:color="auto"/>
              <w:right w:val="single" w:sz="6" w:space="0" w:color="auto"/>
            </w:tcBorders>
          </w:tcPr>
          <w:p w14:paraId="218048D9" w14:textId="77777777" w:rsidR="00082396" w:rsidRPr="00A437D9" w:rsidRDefault="00082396" w:rsidP="006C1B70">
            <w:pPr>
              <w:pStyle w:val="Table2"/>
              <w:keepNext/>
              <w:widowControl/>
            </w:pPr>
            <w:r w:rsidRPr="00A437D9">
              <w:t>Pest disinfestation for a phytosanitary objective.</w:t>
            </w:r>
          </w:p>
          <w:p w14:paraId="51776900" w14:textId="77777777" w:rsidR="00082396" w:rsidRPr="00A437D9" w:rsidRDefault="00082396" w:rsidP="006C1B70">
            <w:pPr>
              <w:pStyle w:val="Table2"/>
              <w:keepNext/>
              <w:widowControl/>
            </w:pPr>
          </w:p>
          <w:p w14:paraId="6D03F95E" w14:textId="77777777" w:rsidR="00082396" w:rsidRPr="00A437D9" w:rsidRDefault="00082396" w:rsidP="006C1B70">
            <w:pPr>
              <w:pStyle w:val="Table2"/>
              <w:keepNext/>
              <w:widowControl/>
            </w:pPr>
          </w:p>
        </w:tc>
      </w:tr>
      <w:tr w:rsidR="00082396" w:rsidRPr="00A437D9" w14:paraId="498D6A5F" w14:textId="77777777" w:rsidTr="006C1B70">
        <w:tc>
          <w:tcPr>
            <w:tcW w:w="3360" w:type="dxa"/>
            <w:tcBorders>
              <w:top w:val="single" w:sz="6" w:space="0" w:color="auto"/>
              <w:left w:val="single" w:sz="6" w:space="0" w:color="auto"/>
              <w:bottom w:val="single" w:sz="6" w:space="0" w:color="auto"/>
              <w:right w:val="single" w:sz="6" w:space="0" w:color="auto"/>
            </w:tcBorders>
          </w:tcPr>
          <w:p w14:paraId="44712CBD" w14:textId="1BB3F352" w:rsidR="00082396" w:rsidRPr="00A437D9" w:rsidRDefault="00082396" w:rsidP="006C1B70">
            <w:pPr>
              <w:pStyle w:val="Table2"/>
              <w:keepNext/>
              <w:widowControl/>
            </w:pPr>
            <w:r w:rsidRPr="00A437D9">
              <w:t xml:space="preserve">Herbs and spices as described in Schedule </w:t>
            </w:r>
            <w:r w:rsidR="00DB5D38">
              <w:t>22 – Foods and classes of food</w:t>
            </w:r>
          </w:p>
          <w:p w14:paraId="44CE2EDE" w14:textId="77777777" w:rsidR="00082396" w:rsidRPr="00A437D9" w:rsidRDefault="00082396" w:rsidP="006C1B70">
            <w:pPr>
              <w:pStyle w:val="Table2"/>
              <w:keepNext/>
              <w:widowControl/>
            </w:pPr>
          </w:p>
          <w:p w14:paraId="34E8DD2E" w14:textId="275A3A43" w:rsidR="00082396" w:rsidRPr="00A437D9" w:rsidRDefault="00082396" w:rsidP="006D6F76">
            <w:pPr>
              <w:pStyle w:val="Table2"/>
              <w:keepNext/>
              <w:widowControl/>
            </w:pPr>
            <w:r w:rsidRPr="00A437D9">
              <w:t xml:space="preserve">Herbal infusions – fresh, dried or fermented leaves, flowers and other parts of plants used to make beverages, </w:t>
            </w:r>
            <w:r w:rsidR="006D6F76">
              <w:t xml:space="preserve">but not does include </w:t>
            </w:r>
            <w:r w:rsidRPr="00A437D9">
              <w:t xml:space="preserve"> tea</w:t>
            </w:r>
          </w:p>
        </w:tc>
        <w:tc>
          <w:tcPr>
            <w:tcW w:w="2000" w:type="dxa"/>
            <w:tcBorders>
              <w:top w:val="single" w:sz="6" w:space="0" w:color="auto"/>
              <w:left w:val="single" w:sz="6" w:space="0" w:color="auto"/>
              <w:bottom w:val="single" w:sz="6" w:space="0" w:color="auto"/>
              <w:right w:val="single" w:sz="6" w:space="0" w:color="auto"/>
            </w:tcBorders>
          </w:tcPr>
          <w:p w14:paraId="647A0214" w14:textId="77777777" w:rsidR="00082396" w:rsidRPr="00A437D9" w:rsidRDefault="00082396" w:rsidP="006C1B70">
            <w:pPr>
              <w:pStyle w:val="Table2"/>
              <w:keepNext/>
              <w:widowControl/>
            </w:pPr>
            <w:r w:rsidRPr="00A437D9">
              <w:t>Minimum: none</w:t>
            </w:r>
          </w:p>
          <w:p w14:paraId="37AEA756" w14:textId="77777777" w:rsidR="00082396" w:rsidRPr="00A437D9" w:rsidRDefault="00082396" w:rsidP="006C1B70">
            <w:pPr>
              <w:pStyle w:val="Table2"/>
              <w:keepNext/>
              <w:widowControl/>
            </w:pPr>
            <w:r w:rsidRPr="00A437D9">
              <w:t xml:space="preserve">Maximum: 6 </w:t>
            </w:r>
            <w:proofErr w:type="spellStart"/>
            <w:r w:rsidRPr="00A437D9">
              <w:t>kGy</w:t>
            </w:r>
            <w:proofErr w:type="spellEnd"/>
          </w:p>
        </w:tc>
        <w:tc>
          <w:tcPr>
            <w:tcW w:w="3509" w:type="dxa"/>
            <w:tcBorders>
              <w:top w:val="single" w:sz="6" w:space="0" w:color="auto"/>
              <w:left w:val="single" w:sz="6" w:space="0" w:color="auto"/>
              <w:bottom w:val="single" w:sz="6" w:space="0" w:color="auto"/>
              <w:right w:val="single" w:sz="6" w:space="0" w:color="auto"/>
            </w:tcBorders>
          </w:tcPr>
          <w:p w14:paraId="42566190" w14:textId="77777777" w:rsidR="00082396" w:rsidRPr="00A437D9" w:rsidRDefault="00082396" w:rsidP="006C1B70">
            <w:pPr>
              <w:pStyle w:val="Table2"/>
              <w:keepNext/>
              <w:widowControl/>
            </w:pPr>
            <w:r w:rsidRPr="00A437D9">
              <w:t>Control of sprouting and pest disinfestation, including control of weeds.</w:t>
            </w:r>
          </w:p>
          <w:p w14:paraId="06E9AA8E" w14:textId="77777777" w:rsidR="00082396" w:rsidRPr="00A437D9" w:rsidRDefault="00082396" w:rsidP="006C1B70">
            <w:pPr>
              <w:pStyle w:val="Table2"/>
              <w:keepNext/>
              <w:widowControl/>
            </w:pPr>
          </w:p>
          <w:p w14:paraId="4D40C9E0" w14:textId="77777777" w:rsidR="00082396" w:rsidRPr="00A437D9" w:rsidRDefault="00082396" w:rsidP="006C1B70">
            <w:pPr>
              <w:pStyle w:val="Table2"/>
              <w:keepNext/>
              <w:widowControl/>
            </w:pPr>
          </w:p>
        </w:tc>
      </w:tr>
      <w:tr w:rsidR="00082396" w:rsidRPr="00A437D9" w14:paraId="00EED939" w14:textId="77777777" w:rsidTr="006C1B70">
        <w:tc>
          <w:tcPr>
            <w:tcW w:w="3360" w:type="dxa"/>
            <w:tcBorders>
              <w:top w:val="single" w:sz="6" w:space="0" w:color="auto"/>
              <w:left w:val="single" w:sz="6" w:space="0" w:color="auto"/>
              <w:bottom w:val="single" w:sz="6" w:space="0" w:color="auto"/>
              <w:right w:val="single" w:sz="6" w:space="0" w:color="auto"/>
            </w:tcBorders>
          </w:tcPr>
          <w:p w14:paraId="513689BD" w14:textId="1FE08027" w:rsidR="00082396" w:rsidRPr="00A437D9" w:rsidRDefault="00082396" w:rsidP="006D6F76">
            <w:pPr>
              <w:pStyle w:val="Table2"/>
              <w:keepNext/>
              <w:widowControl/>
            </w:pPr>
            <w:r w:rsidRPr="00A437D9">
              <w:t xml:space="preserve">Herbs and spices as described in Schedule </w:t>
            </w:r>
            <w:r w:rsidR="006D6F76">
              <w:t>22</w:t>
            </w:r>
          </w:p>
        </w:tc>
        <w:tc>
          <w:tcPr>
            <w:tcW w:w="2000" w:type="dxa"/>
            <w:tcBorders>
              <w:top w:val="single" w:sz="6" w:space="0" w:color="auto"/>
              <w:left w:val="single" w:sz="6" w:space="0" w:color="auto"/>
              <w:bottom w:val="single" w:sz="6" w:space="0" w:color="auto"/>
              <w:right w:val="single" w:sz="6" w:space="0" w:color="auto"/>
            </w:tcBorders>
          </w:tcPr>
          <w:p w14:paraId="344EFF96" w14:textId="77777777" w:rsidR="00082396" w:rsidRPr="00A437D9" w:rsidRDefault="00082396" w:rsidP="006C1B70">
            <w:pPr>
              <w:pStyle w:val="Table2"/>
              <w:keepNext/>
              <w:widowControl/>
            </w:pPr>
            <w:r w:rsidRPr="00A437D9">
              <w:t xml:space="preserve">Minimum: 2 </w:t>
            </w:r>
            <w:proofErr w:type="spellStart"/>
            <w:r w:rsidRPr="00A437D9">
              <w:t>kGy</w:t>
            </w:r>
            <w:proofErr w:type="spellEnd"/>
          </w:p>
          <w:p w14:paraId="55AFF4DC" w14:textId="77777777" w:rsidR="00082396" w:rsidRPr="00A437D9" w:rsidRDefault="00082396" w:rsidP="006C1B70">
            <w:pPr>
              <w:pStyle w:val="Table2"/>
              <w:keepNext/>
              <w:widowControl/>
            </w:pPr>
            <w:r w:rsidRPr="00A437D9">
              <w:t xml:space="preserve">Maximum: 30 </w:t>
            </w:r>
            <w:proofErr w:type="spellStart"/>
            <w:r w:rsidRPr="00A437D9">
              <w:t>kGy</w:t>
            </w:r>
            <w:proofErr w:type="spellEnd"/>
          </w:p>
        </w:tc>
        <w:tc>
          <w:tcPr>
            <w:tcW w:w="3509" w:type="dxa"/>
            <w:tcBorders>
              <w:top w:val="single" w:sz="6" w:space="0" w:color="auto"/>
              <w:left w:val="single" w:sz="6" w:space="0" w:color="auto"/>
              <w:bottom w:val="single" w:sz="6" w:space="0" w:color="auto"/>
              <w:right w:val="single" w:sz="6" w:space="0" w:color="auto"/>
            </w:tcBorders>
          </w:tcPr>
          <w:p w14:paraId="5A516DD1" w14:textId="77777777" w:rsidR="00082396" w:rsidRPr="00A437D9" w:rsidRDefault="00082396" w:rsidP="006C1B70">
            <w:pPr>
              <w:pStyle w:val="Table2"/>
              <w:keepNext/>
              <w:widowControl/>
            </w:pPr>
            <w:r w:rsidRPr="00A437D9">
              <w:t>Bacterial decontamination.</w:t>
            </w:r>
          </w:p>
        </w:tc>
      </w:tr>
      <w:tr w:rsidR="00082396" w:rsidRPr="00A437D9" w14:paraId="3142B130" w14:textId="77777777" w:rsidTr="006C1B70">
        <w:tc>
          <w:tcPr>
            <w:tcW w:w="3360" w:type="dxa"/>
            <w:tcBorders>
              <w:top w:val="single" w:sz="6" w:space="0" w:color="auto"/>
              <w:left w:val="single" w:sz="6" w:space="0" w:color="auto"/>
              <w:bottom w:val="single" w:sz="6" w:space="0" w:color="auto"/>
              <w:right w:val="single" w:sz="6" w:space="0" w:color="auto"/>
            </w:tcBorders>
          </w:tcPr>
          <w:p w14:paraId="66102191" w14:textId="77777777" w:rsidR="00082396" w:rsidRPr="00A437D9" w:rsidRDefault="00082396" w:rsidP="006C1B70">
            <w:pPr>
              <w:pStyle w:val="Table2"/>
              <w:keepNext/>
              <w:widowControl/>
            </w:pPr>
            <w:r w:rsidRPr="00A437D9">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14:paraId="13E4AAEB" w14:textId="77777777" w:rsidR="00082396" w:rsidRPr="00A437D9" w:rsidRDefault="00082396" w:rsidP="006C1B70">
            <w:pPr>
              <w:pStyle w:val="Table2"/>
              <w:keepNext/>
              <w:widowControl/>
            </w:pPr>
            <w:r w:rsidRPr="00A437D9">
              <w:t xml:space="preserve">Minimum: 2 </w:t>
            </w:r>
            <w:proofErr w:type="spellStart"/>
            <w:r w:rsidRPr="00A437D9">
              <w:t>kGy</w:t>
            </w:r>
            <w:proofErr w:type="spellEnd"/>
          </w:p>
          <w:p w14:paraId="467DC63F" w14:textId="77777777" w:rsidR="00082396" w:rsidRPr="00A437D9" w:rsidRDefault="00082396" w:rsidP="006C1B70">
            <w:pPr>
              <w:pStyle w:val="Table2"/>
              <w:keepNext/>
              <w:widowControl/>
            </w:pPr>
            <w:r w:rsidRPr="00A437D9">
              <w:t xml:space="preserve">Maximum: 10 </w:t>
            </w:r>
            <w:proofErr w:type="spellStart"/>
            <w:r w:rsidRPr="00A437D9">
              <w:t>kGy</w:t>
            </w:r>
            <w:proofErr w:type="spellEnd"/>
          </w:p>
        </w:tc>
        <w:tc>
          <w:tcPr>
            <w:tcW w:w="3509" w:type="dxa"/>
            <w:tcBorders>
              <w:top w:val="single" w:sz="6" w:space="0" w:color="auto"/>
              <w:left w:val="single" w:sz="6" w:space="0" w:color="auto"/>
              <w:bottom w:val="single" w:sz="6" w:space="0" w:color="auto"/>
              <w:right w:val="single" w:sz="6" w:space="0" w:color="auto"/>
            </w:tcBorders>
          </w:tcPr>
          <w:p w14:paraId="622B46A9" w14:textId="77777777" w:rsidR="00082396" w:rsidRPr="00A437D9" w:rsidRDefault="00082396" w:rsidP="006C1B70">
            <w:pPr>
              <w:pStyle w:val="Table2"/>
              <w:keepNext/>
              <w:widowControl/>
            </w:pPr>
            <w:r w:rsidRPr="00A437D9">
              <w:t>Bacterial decontamination.</w:t>
            </w:r>
          </w:p>
        </w:tc>
      </w:tr>
    </w:tbl>
    <w:p w14:paraId="1E432AA3" w14:textId="7A8A4D1D" w:rsidR="00082396" w:rsidRDefault="00C122A7" w:rsidP="002D2FDD">
      <w:pPr>
        <w:widowControl/>
        <w:autoSpaceDE w:val="0"/>
        <w:autoSpaceDN w:val="0"/>
        <w:adjustRightInd w:val="0"/>
        <w:rPr>
          <w:rFonts w:cs="Arial"/>
          <w:sz w:val="18"/>
          <w:szCs w:val="18"/>
        </w:rPr>
      </w:pPr>
      <w:r>
        <w:rPr>
          <w:rFonts w:cs="Arial"/>
          <w:vertAlign w:val="superscript"/>
        </w:rPr>
        <w:t>1</w:t>
      </w:r>
      <w:r>
        <w:rPr>
          <w:rFonts w:cs="Arial"/>
        </w:rPr>
        <w:t xml:space="preserve"> </w:t>
      </w:r>
      <w:proofErr w:type="spellStart"/>
      <w:r w:rsidRPr="00C122A7">
        <w:rPr>
          <w:rFonts w:cs="Arial"/>
          <w:sz w:val="18"/>
          <w:szCs w:val="18"/>
        </w:rPr>
        <w:t>KiloGrays</w:t>
      </w:r>
      <w:proofErr w:type="spellEnd"/>
    </w:p>
    <w:p w14:paraId="2CBF2B4D" w14:textId="77777777" w:rsidR="004D38DF" w:rsidRDefault="004D38DF" w:rsidP="002D2FDD">
      <w:pPr>
        <w:widowControl/>
        <w:autoSpaceDE w:val="0"/>
        <w:autoSpaceDN w:val="0"/>
        <w:adjustRightInd w:val="0"/>
        <w:rPr>
          <w:rFonts w:cs="Arial"/>
        </w:rPr>
      </w:pPr>
      <w:r>
        <w:rPr>
          <w:rFonts w:cs="Arial"/>
        </w:rPr>
        <w:br w:type="page"/>
      </w:r>
    </w:p>
    <w:p w14:paraId="1F21E88E" w14:textId="63DC7A30" w:rsidR="00082396" w:rsidRDefault="00977F09" w:rsidP="00082396">
      <w:pPr>
        <w:pStyle w:val="Heading2"/>
      </w:pPr>
      <w:bookmarkStart w:id="13" w:name="_Toc440466200"/>
      <w:bookmarkStart w:id="14" w:name="_Toc467141082"/>
      <w:r>
        <w:lastRenderedPageBreak/>
        <w:t>4</w:t>
      </w:r>
      <w:r w:rsidR="00082396" w:rsidRPr="00C65FDB">
        <w:tab/>
        <w:t>Alternatives to irradiation for fresh produce</w:t>
      </w:r>
      <w:bookmarkEnd w:id="13"/>
      <w:bookmarkEnd w:id="14"/>
    </w:p>
    <w:p w14:paraId="72E33F63" w14:textId="77777777" w:rsidR="00082396" w:rsidRDefault="00082396" w:rsidP="00082396">
      <w:r>
        <w:t>There are some alternatives to irradiation as a phytosanitary measure. These include:</w:t>
      </w:r>
    </w:p>
    <w:p w14:paraId="13820E27" w14:textId="77777777" w:rsidR="00AD37FB" w:rsidRDefault="00AD37FB" w:rsidP="00082396"/>
    <w:p w14:paraId="103CBFDF" w14:textId="77777777" w:rsidR="00082396" w:rsidRDefault="00082396" w:rsidP="00082396">
      <w:pPr>
        <w:pStyle w:val="FSBullet1"/>
        <w:widowControl/>
        <w:numPr>
          <w:ilvl w:val="0"/>
          <w:numId w:val="15"/>
        </w:numPr>
        <w:ind w:left="567" w:hanging="567"/>
      </w:pPr>
      <w:r>
        <w:t xml:space="preserve">post-harvest chemicals (e.g. methyl bromide, </w:t>
      </w:r>
      <w:proofErr w:type="spellStart"/>
      <w:r>
        <w:t>dimethoate</w:t>
      </w:r>
      <w:proofErr w:type="spellEnd"/>
      <w:r>
        <w:t>)</w:t>
      </w:r>
    </w:p>
    <w:p w14:paraId="059990DA" w14:textId="77777777" w:rsidR="00082396" w:rsidRDefault="00082396" w:rsidP="00082396">
      <w:pPr>
        <w:pStyle w:val="FSBullet1"/>
        <w:widowControl/>
        <w:numPr>
          <w:ilvl w:val="0"/>
          <w:numId w:val="15"/>
        </w:numPr>
        <w:ind w:left="567" w:hanging="567"/>
      </w:pPr>
      <w:r>
        <w:t>refrigeration</w:t>
      </w:r>
    </w:p>
    <w:p w14:paraId="6F56AF91" w14:textId="77777777" w:rsidR="00082396" w:rsidRDefault="00082396" w:rsidP="00082396">
      <w:pPr>
        <w:pStyle w:val="FSBullet1"/>
        <w:widowControl/>
        <w:numPr>
          <w:ilvl w:val="0"/>
          <w:numId w:val="15"/>
        </w:numPr>
        <w:ind w:left="567" w:hanging="567"/>
      </w:pPr>
      <w:r>
        <w:t>hot water dips</w:t>
      </w:r>
    </w:p>
    <w:p w14:paraId="6B9A4C9A" w14:textId="77777777" w:rsidR="00082396" w:rsidRDefault="00082396" w:rsidP="00082396">
      <w:pPr>
        <w:pStyle w:val="FSBullet1"/>
        <w:widowControl/>
        <w:numPr>
          <w:ilvl w:val="0"/>
          <w:numId w:val="15"/>
        </w:numPr>
        <w:ind w:left="567" w:hanging="567"/>
      </w:pPr>
      <w:r>
        <w:t>vapour heat</w:t>
      </w:r>
    </w:p>
    <w:p w14:paraId="1979A49D" w14:textId="77777777" w:rsidR="00082396" w:rsidRDefault="00082396" w:rsidP="00082396">
      <w:pPr>
        <w:pStyle w:val="FSBullet1"/>
        <w:widowControl/>
        <w:numPr>
          <w:ilvl w:val="0"/>
          <w:numId w:val="15"/>
        </w:numPr>
        <w:ind w:left="567" w:hanging="567"/>
      </w:pPr>
      <w:r>
        <w:t xml:space="preserve">controlled atmosphere </w:t>
      </w:r>
    </w:p>
    <w:p w14:paraId="6AACC777" w14:textId="77777777" w:rsidR="00082396" w:rsidRPr="00524F3B" w:rsidRDefault="00082396" w:rsidP="00082396">
      <w:pPr>
        <w:pStyle w:val="FSBullet1"/>
        <w:widowControl/>
        <w:numPr>
          <w:ilvl w:val="0"/>
          <w:numId w:val="15"/>
        </w:numPr>
        <w:ind w:left="567" w:hanging="567"/>
      </w:pPr>
      <w:proofErr w:type="gramStart"/>
      <w:r>
        <w:rPr>
          <w:szCs w:val="22"/>
          <w:lang w:eastAsia="en-GB"/>
        </w:rPr>
        <w:t>p</w:t>
      </w:r>
      <w:r w:rsidRPr="00282A9F">
        <w:rPr>
          <w:szCs w:val="22"/>
          <w:lang w:eastAsia="en-GB"/>
        </w:rPr>
        <w:t>hysical</w:t>
      </w:r>
      <w:proofErr w:type="gramEnd"/>
      <w:r w:rsidRPr="00282A9F">
        <w:rPr>
          <w:szCs w:val="22"/>
          <w:lang w:eastAsia="en-GB"/>
        </w:rPr>
        <w:t xml:space="preserve"> disinfestation, i.e. cleaning or washing</w:t>
      </w:r>
      <w:r>
        <w:rPr>
          <w:szCs w:val="22"/>
          <w:lang w:eastAsia="en-GB"/>
        </w:rPr>
        <w:t>.</w:t>
      </w:r>
    </w:p>
    <w:p w14:paraId="016D156C" w14:textId="77777777" w:rsidR="00082396" w:rsidRDefault="00082396" w:rsidP="00082396"/>
    <w:p w14:paraId="50DB8702" w14:textId="34DAC7A7" w:rsidR="00082396" w:rsidRDefault="00082396" w:rsidP="00082396">
      <w:pPr>
        <w:rPr>
          <w:rFonts w:cs="Arial"/>
          <w:szCs w:val="22"/>
        </w:rPr>
      </w:pPr>
      <w:r>
        <w:t>There are advantages and disadvantages associated with each of these treatments. Depending on the treatment, the disadvantages can be the high cost of the treatment, an adverse effect on the quality of produce and shelf life, environmental concerns, the risk of chemical residues remaining on food and limited effectiveness against a broad range of insects. Some treatments require more handling of produce. Others take longer for produce to be processed, which can lead to missed market opportunities.</w:t>
      </w:r>
      <w:r w:rsidRPr="005C6ACF">
        <w:t xml:space="preserve"> </w:t>
      </w:r>
      <w:r>
        <w:rPr>
          <w:rFonts w:cs="Arial"/>
          <w:szCs w:val="22"/>
        </w:rPr>
        <w:t xml:space="preserve">When these treatments are used, there is no requirement to declare the use of the treatment on the </w:t>
      </w:r>
      <w:r w:rsidR="0019661D">
        <w:rPr>
          <w:rFonts w:cs="Arial"/>
          <w:szCs w:val="22"/>
        </w:rPr>
        <w:t xml:space="preserve">food </w:t>
      </w:r>
      <w:r>
        <w:rPr>
          <w:rFonts w:cs="Arial"/>
          <w:szCs w:val="22"/>
        </w:rPr>
        <w:t xml:space="preserve">label. </w:t>
      </w:r>
    </w:p>
    <w:p w14:paraId="10D7291A" w14:textId="77777777" w:rsidR="00082396" w:rsidRDefault="00082396" w:rsidP="00082396">
      <w:pPr>
        <w:rPr>
          <w:rFonts w:cs="Arial"/>
          <w:szCs w:val="22"/>
        </w:rPr>
      </w:pPr>
    </w:p>
    <w:p w14:paraId="2950936D" w14:textId="77777777" w:rsidR="00082396" w:rsidRPr="00F542C4" w:rsidRDefault="00082396" w:rsidP="00082396">
      <w:pPr>
        <w:rPr>
          <w:rFonts w:cs="Arial"/>
          <w:szCs w:val="22"/>
        </w:rPr>
      </w:pPr>
      <w:r>
        <w:rPr>
          <w:rFonts w:cs="Arial"/>
          <w:szCs w:val="22"/>
        </w:rPr>
        <w:t xml:space="preserve">These alternatives are not under consideration as part of this work. If certain produce presents a biosecurity risk for a particular market, producers need to consider which </w:t>
      </w:r>
      <w:r w:rsidRPr="00F542C4">
        <w:rPr>
          <w:rFonts w:cs="Arial"/>
          <w:szCs w:val="22"/>
        </w:rPr>
        <w:t xml:space="preserve">phytosanitary measures are permitted before the produce can enter that market. If more than one measure is available, the decision on which treatment to use will be based on cost, impact on quality and the effectiveness of the treatment. </w:t>
      </w:r>
    </w:p>
    <w:p w14:paraId="1334934B" w14:textId="77777777" w:rsidR="00082396" w:rsidRPr="00F542C4" w:rsidRDefault="00082396" w:rsidP="00082396">
      <w:pPr>
        <w:rPr>
          <w:rFonts w:cs="Arial"/>
          <w:szCs w:val="22"/>
        </w:rPr>
      </w:pPr>
    </w:p>
    <w:p w14:paraId="1757F62A" w14:textId="4A4F601D" w:rsidR="006C1B70" w:rsidRPr="006416F4" w:rsidRDefault="00082396" w:rsidP="00082396">
      <w:pPr>
        <w:widowControl/>
        <w:autoSpaceDE w:val="0"/>
        <w:autoSpaceDN w:val="0"/>
        <w:adjustRightInd w:val="0"/>
        <w:rPr>
          <w:rFonts w:cs="Arial"/>
        </w:rPr>
      </w:pPr>
      <w:r w:rsidRPr="00F542C4">
        <w:rPr>
          <w:rFonts w:cs="Arial"/>
          <w:szCs w:val="22"/>
        </w:rPr>
        <w:t xml:space="preserve">Irradiation is one of the ‘tools in the toolbox’ of phytosanitary measures. </w:t>
      </w:r>
      <w:r w:rsidRPr="00F542C4">
        <w:rPr>
          <w:rFonts w:cs="Arial"/>
        </w:rPr>
        <w:t xml:space="preserve">There are currently two irradiation facilities in Australia, but the only facility licensed to irradiate food </w:t>
      </w:r>
      <w:r w:rsidR="00892132">
        <w:rPr>
          <w:rFonts w:cs="Arial"/>
        </w:rPr>
        <w:t xml:space="preserve">for a phytosanitary purpose </w:t>
      </w:r>
      <w:r w:rsidRPr="00F542C4">
        <w:rPr>
          <w:rFonts w:cs="Arial"/>
        </w:rPr>
        <w:t>is based in Queensland.</w:t>
      </w:r>
      <w:r w:rsidRPr="00F542C4">
        <w:rPr>
          <w:rFonts w:cs="Arial"/>
          <w:szCs w:val="22"/>
          <w:lang w:val="en-AU" w:eastAsia="en-AU" w:bidi="ar-SA"/>
        </w:rPr>
        <w:t xml:space="preserve"> This irradiated produce is sold domestically and is exported to New Zealand and to other countries. New Zealand does not have an irradiation facility to treat food, and any irradiated food available for sale is imported.</w:t>
      </w:r>
    </w:p>
    <w:p w14:paraId="4052AEE9" w14:textId="06FDA1AC" w:rsidR="00776696" w:rsidRPr="00E074E6" w:rsidRDefault="00977F09" w:rsidP="00E074E6">
      <w:pPr>
        <w:pStyle w:val="Heading2"/>
      </w:pPr>
      <w:bookmarkStart w:id="15" w:name="_Toc467141083"/>
      <w:r>
        <w:t>5</w:t>
      </w:r>
      <w:r w:rsidR="00776696" w:rsidRPr="00E074E6">
        <w:tab/>
        <w:t>How food is irradiated</w:t>
      </w:r>
      <w:bookmarkEnd w:id="7"/>
      <w:bookmarkEnd w:id="15"/>
    </w:p>
    <w:p w14:paraId="4052AEEA" w14:textId="77777777" w:rsidR="00776696" w:rsidRDefault="00776696" w:rsidP="00776696">
      <w:pPr>
        <w:shd w:val="clear" w:color="auto" w:fill="FFFFFF"/>
        <w:rPr>
          <w:rFonts w:cs="Arial"/>
          <w:szCs w:val="22"/>
          <w:lang w:eastAsia="en-NZ"/>
        </w:rPr>
      </w:pPr>
      <w:r>
        <w:rPr>
          <w:rFonts w:cs="Arial"/>
          <w:szCs w:val="22"/>
          <w:lang w:eastAsia="en-NZ"/>
        </w:rPr>
        <w:t xml:space="preserve">Food is irradiated via exposure to </w:t>
      </w:r>
      <w:r w:rsidRPr="00082104">
        <w:rPr>
          <w:rFonts w:cs="Arial"/>
          <w:szCs w:val="22"/>
          <w:lang w:eastAsia="en-NZ"/>
        </w:rPr>
        <w:t>ionising radiation</w:t>
      </w:r>
      <w:r>
        <w:rPr>
          <w:rFonts w:cs="Arial"/>
          <w:szCs w:val="22"/>
          <w:lang w:eastAsia="en-NZ"/>
        </w:rPr>
        <w:t xml:space="preserve"> from one of three radioactive sources:</w:t>
      </w:r>
    </w:p>
    <w:p w14:paraId="4052AEEB" w14:textId="77777777" w:rsidR="00776696" w:rsidRDefault="00776696" w:rsidP="00776696">
      <w:pPr>
        <w:shd w:val="clear" w:color="auto" w:fill="FFFFFF"/>
        <w:rPr>
          <w:rFonts w:cs="Arial"/>
          <w:szCs w:val="22"/>
          <w:lang w:eastAsia="en-NZ"/>
        </w:rPr>
      </w:pPr>
    </w:p>
    <w:p w14:paraId="4052AEEC" w14:textId="5E873683" w:rsidR="00776696" w:rsidRDefault="006C54AB" w:rsidP="00776696">
      <w:pPr>
        <w:pStyle w:val="FSBullet1"/>
        <w:widowControl/>
        <w:numPr>
          <w:ilvl w:val="0"/>
          <w:numId w:val="15"/>
        </w:numPr>
        <w:ind w:left="567" w:hanging="567"/>
        <w:rPr>
          <w:lang w:eastAsia="en-NZ"/>
        </w:rPr>
      </w:pPr>
      <w:r>
        <w:rPr>
          <w:lang w:eastAsia="en-NZ"/>
        </w:rPr>
        <w:t>g</w:t>
      </w:r>
      <w:r w:rsidR="00776696">
        <w:rPr>
          <w:lang w:eastAsia="en-NZ"/>
        </w:rPr>
        <w:t xml:space="preserve">amma rays, which are emitted from radioactive forms of the element cobalt (Cobalt 60) or of the element caesium (Caesium </w:t>
      </w:r>
      <w:r w:rsidR="00776696" w:rsidRPr="00524F3B">
        <w:rPr>
          <w:vertAlign w:val="superscript"/>
          <w:lang w:eastAsia="en-NZ"/>
        </w:rPr>
        <w:t>137</w:t>
      </w:r>
      <w:r w:rsidR="00776696">
        <w:rPr>
          <w:lang w:eastAsia="en-NZ"/>
        </w:rPr>
        <w:t>)</w:t>
      </w:r>
      <w:r w:rsidR="00776696">
        <w:rPr>
          <w:rStyle w:val="FootnoteReference"/>
          <w:lang w:eastAsia="en-NZ"/>
        </w:rPr>
        <w:footnoteReference w:id="5"/>
      </w:r>
    </w:p>
    <w:p w14:paraId="4052AEEE" w14:textId="76451A90" w:rsidR="00776696" w:rsidRDefault="006C54AB" w:rsidP="00776696">
      <w:pPr>
        <w:pStyle w:val="FSBullet1"/>
        <w:widowControl/>
        <w:numPr>
          <w:ilvl w:val="0"/>
          <w:numId w:val="15"/>
        </w:numPr>
        <w:ind w:left="567" w:hanging="567"/>
        <w:rPr>
          <w:lang w:eastAsia="en-NZ"/>
        </w:rPr>
      </w:pPr>
      <w:r>
        <w:rPr>
          <w:lang w:eastAsia="en-NZ"/>
        </w:rPr>
        <w:t>x</w:t>
      </w:r>
      <w:r w:rsidR="00776696">
        <w:rPr>
          <w:lang w:eastAsia="en-NZ"/>
        </w:rPr>
        <w:t xml:space="preserve">-rays, which are generated by or from machine sources using electricity </w:t>
      </w:r>
    </w:p>
    <w:p w14:paraId="4052AEF0" w14:textId="61D1BE64" w:rsidR="00776696" w:rsidRDefault="006C54AB" w:rsidP="00776696">
      <w:pPr>
        <w:pStyle w:val="FSBullet1"/>
        <w:widowControl/>
        <w:numPr>
          <w:ilvl w:val="0"/>
          <w:numId w:val="15"/>
        </w:numPr>
        <w:ind w:left="567" w:hanging="567"/>
        <w:rPr>
          <w:lang w:eastAsia="en-NZ"/>
        </w:rPr>
      </w:pPr>
      <w:proofErr w:type="gramStart"/>
      <w:r>
        <w:rPr>
          <w:lang w:eastAsia="en-NZ"/>
        </w:rPr>
        <w:t>e</w:t>
      </w:r>
      <w:r w:rsidR="00776696">
        <w:rPr>
          <w:lang w:eastAsia="en-NZ"/>
        </w:rPr>
        <w:t>lectron</w:t>
      </w:r>
      <w:proofErr w:type="gramEnd"/>
      <w:r w:rsidR="00776696">
        <w:rPr>
          <w:lang w:eastAsia="en-NZ"/>
        </w:rPr>
        <w:t xml:space="preserve"> beam (also referred to as e-beam), which are generated by or from machine sources using electricity. </w:t>
      </w:r>
    </w:p>
    <w:p w14:paraId="4052AEF1" w14:textId="77777777" w:rsidR="00776696" w:rsidRDefault="00776696" w:rsidP="00776696">
      <w:pPr>
        <w:rPr>
          <w:lang w:eastAsia="en-NZ" w:bidi="ar-SA"/>
        </w:rPr>
      </w:pPr>
    </w:p>
    <w:p w14:paraId="4052AEF2" w14:textId="77777777" w:rsidR="00776696" w:rsidRDefault="00776696" w:rsidP="00776696">
      <w:pPr>
        <w:shd w:val="clear" w:color="auto" w:fill="FFFFFF"/>
        <w:rPr>
          <w:rFonts w:cs="Arial"/>
          <w:szCs w:val="22"/>
          <w:lang w:eastAsia="en-NZ"/>
        </w:rPr>
      </w:pPr>
      <w:r>
        <w:rPr>
          <w:rFonts w:cs="Arial"/>
          <w:szCs w:val="22"/>
          <w:lang w:eastAsia="en-NZ"/>
        </w:rPr>
        <w:t xml:space="preserve">Cobalt 60 is used in Australia. </w:t>
      </w:r>
    </w:p>
    <w:p w14:paraId="4052AEF3" w14:textId="77777777" w:rsidR="00776696" w:rsidRDefault="00776696" w:rsidP="00776696">
      <w:pPr>
        <w:shd w:val="clear" w:color="auto" w:fill="FFFFFF"/>
        <w:rPr>
          <w:rFonts w:cs="Arial"/>
          <w:szCs w:val="22"/>
          <w:lang w:eastAsia="en-NZ"/>
        </w:rPr>
      </w:pPr>
    </w:p>
    <w:p w14:paraId="4052AEF4" w14:textId="4B382932" w:rsidR="00776696" w:rsidRDefault="00776696" w:rsidP="00776696">
      <w:pPr>
        <w:shd w:val="clear" w:color="auto" w:fill="FFFFFF"/>
        <w:rPr>
          <w:rFonts w:cs="Arial"/>
          <w:szCs w:val="22"/>
          <w:lang w:eastAsia="en-NZ"/>
        </w:rPr>
      </w:pPr>
      <w:r w:rsidRPr="00082104">
        <w:rPr>
          <w:rFonts w:cs="Arial"/>
          <w:szCs w:val="22"/>
          <w:lang w:eastAsia="en-NZ"/>
        </w:rPr>
        <w:t>Gamma rays</w:t>
      </w:r>
      <w:r w:rsidR="009E6F20">
        <w:rPr>
          <w:rFonts w:cs="Arial"/>
          <w:szCs w:val="22"/>
          <w:lang w:eastAsia="en-NZ"/>
        </w:rPr>
        <w:t>, e-beam</w:t>
      </w:r>
      <w:r w:rsidRPr="00082104">
        <w:rPr>
          <w:rFonts w:cs="Arial"/>
          <w:szCs w:val="22"/>
          <w:lang w:eastAsia="en-NZ"/>
        </w:rPr>
        <w:t xml:space="preserve"> and x-rays are a form of radiation that shares some characteristics with microwaves, but with much higher energy and penetration. </w:t>
      </w:r>
      <w:r>
        <w:rPr>
          <w:rFonts w:cs="Arial"/>
          <w:szCs w:val="22"/>
          <w:lang w:eastAsia="en-NZ"/>
        </w:rPr>
        <w:t>These sources are also used to sterilise medical, dental and household products, and X-rays are used for medical imaging.</w:t>
      </w:r>
      <w:r w:rsidRPr="00082104">
        <w:rPr>
          <w:rFonts w:cs="Arial"/>
          <w:szCs w:val="22"/>
          <w:lang w:eastAsia="en-NZ"/>
        </w:rPr>
        <w:br/>
      </w:r>
      <w:r w:rsidRPr="00082104">
        <w:rPr>
          <w:rFonts w:cs="Arial"/>
          <w:szCs w:val="22"/>
          <w:lang w:eastAsia="en-NZ"/>
        </w:rPr>
        <w:br/>
        <w:t>The rays pass through the food just like microwaves in a microwave oven, but the food does not heat up to any significant extent</w:t>
      </w:r>
      <w:r>
        <w:rPr>
          <w:rFonts w:cs="Arial"/>
          <w:szCs w:val="22"/>
          <w:lang w:eastAsia="en-NZ"/>
        </w:rPr>
        <w:t xml:space="preserve">. </w:t>
      </w:r>
    </w:p>
    <w:p w14:paraId="4052AEF5" w14:textId="297FE653" w:rsidR="004D38DF" w:rsidRDefault="004D38DF" w:rsidP="00776696">
      <w:pPr>
        <w:shd w:val="clear" w:color="auto" w:fill="FFFFFF"/>
        <w:rPr>
          <w:rFonts w:cs="Arial"/>
          <w:szCs w:val="22"/>
          <w:lang w:eastAsia="en-NZ"/>
        </w:rPr>
      </w:pPr>
      <w:r>
        <w:rPr>
          <w:rFonts w:cs="Arial"/>
          <w:szCs w:val="22"/>
          <w:lang w:eastAsia="en-NZ"/>
        </w:rPr>
        <w:br w:type="page"/>
      </w:r>
    </w:p>
    <w:p w14:paraId="6B843E36" w14:textId="5035BECD" w:rsidR="00F542C4" w:rsidRDefault="00F542C4" w:rsidP="00F542C4">
      <w:pPr>
        <w:shd w:val="clear" w:color="auto" w:fill="FFFFFF"/>
        <w:rPr>
          <w:rFonts w:cs="Arial"/>
          <w:szCs w:val="22"/>
          <w:lang w:eastAsia="en-NZ"/>
        </w:rPr>
      </w:pPr>
      <w:r w:rsidRPr="00B03817">
        <w:lastRenderedPageBreak/>
        <w:t>Irradiation does not make foods radioactive, because the maximum levels set for the amount of radiation that can be used to treat food are too low. During irradiation the food never comes into contact with the radioactive source. No radioactive energy remains in the food after treatment.</w:t>
      </w:r>
    </w:p>
    <w:p w14:paraId="28234DCD" w14:textId="77777777" w:rsidR="00F542C4" w:rsidRDefault="00F542C4" w:rsidP="00F542C4">
      <w:pPr>
        <w:shd w:val="clear" w:color="auto" w:fill="FFFFFF"/>
        <w:rPr>
          <w:rFonts w:cs="Arial"/>
          <w:szCs w:val="22"/>
          <w:lang w:eastAsia="en-NZ"/>
        </w:rPr>
      </w:pPr>
      <w:r w:rsidRPr="00082104">
        <w:rPr>
          <w:rFonts w:cs="Arial"/>
          <w:szCs w:val="22"/>
          <w:lang w:eastAsia="en-NZ"/>
        </w:rPr>
        <w:t xml:space="preserve"> </w:t>
      </w:r>
    </w:p>
    <w:p w14:paraId="4052AEF6" w14:textId="6D6C7EF2" w:rsidR="00776696" w:rsidRDefault="00776696" w:rsidP="00F542C4">
      <w:pPr>
        <w:shd w:val="clear" w:color="auto" w:fill="FFFFFF"/>
        <w:rPr>
          <w:rFonts w:cs="Arial"/>
          <w:szCs w:val="22"/>
          <w:lang w:eastAsia="en-NZ"/>
        </w:rPr>
      </w:pPr>
      <w:r w:rsidRPr="00082104">
        <w:rPr>
          <w:rFonts w:cs="Arial"/>
          <w:szCs w:val="22"/>
          <w:lang w:eastAsia="en-NZ"/>
        </w:rPr>
        <w:t xml:space="preserve">Radiation is measured in </w:t>
      </w:r>
      <w:proofErr w:type="spellStart"/>
      <w:proofErr w:type="gramStart"/>
      <w:r w:rsidRPr="00082104">
        <w:rPr>
          <w:rFonts w:cs="Arial"/>
          <w:szCs w:val="22"/>
          <w:lang w:eastAsia="en-NZ"/>
        </w:rPr>
        <w:t>kilo</w:t>
      </w:r>
      <w:r>
        <w:rPr>
          <w:rFonts w:cs="Arial"/>
          <w:szCs w:val="22"/>
          <w:lang w:eastAsia="en-NZ"/>
        </w:rPr>
        <w:t>G</w:t>
      </w:r>
      <w:r w:rsidRPr="00082104">
        <w:rPr>
          <w:rFonts w:cs="Arial"/>
          <w:szCs w:val="22"/>
          <w:lang w:eastAsia="en-NZ"/>
        </w:rPr>
        <w:t>rays</w:t>
      </w:r>
      <w:proofErr w:type="spellEnd"/>
      <w:proofErr w:type="gramEnd"/>
      <w:r w:rsidRPr="00082104">
        <w:rPr>
          <w:rFonts w:cs="Arial"/>
          <w:szCs w:val="22"/>
          <w:lang w:eastAsia="en-NZ"/>
        </w:rPr>
        <w:t xml:space="preserve"> (</w:t>
      </w:r>
      <w:proofErr w:type="spellStart"/>
      <w:r w:rsidRPr="00082104">
        <w:rPr>
          <w:rFonts w:cs="Arial"/>
          <w:szCs w:val="22"/>
          <w:lang w:eastAsia="en-NZ"/>
        </w:rPr>
        <w:t>kGy</w:t>
      </w:r>
      <w:proofErr w:type="spellEnd"/>
      <w:r w:rsidRPr="00082104">
        <w:rPr>
          <w:rFonts w:cs="Arial"/>
          <w:szCs w:val="22"/>
          <w:lang w:eastAsia="en-NZ"/>
        </w:rPr>
        <w:t>). Technology allows for a precise dose to be measured. The doses permitted range from a m</w:t>
      </w:r>
      <w:r>
        <w:rPr>
          <w:rFonts w:cs="Arial"/>
          <w:szCs w:val="22"/>
          <w:lang w:eastAsia="en-NZ"/>
        </w:rPr>
        <w:t xml:space="preserve">aximum of 1 </w:t>
      </w:r>
      <w:proofErr w:type="spellStart"/>
      <w:r>
        <w:rPr>
          <w:rFonts w:cs="Arial"/>
          <w:szCs w:val="22"/>
          <w:lang w:eastAsia="en-NZ"/>
        </w:rPr>
        <w:t>kGy</w:t>
      </w:r>
      <w:proofErr w:type="spellEnd"/>
      <w:r>
        <w:rPr>
          <w:rFonts w:cs="Arial"/>
          <w:szCs w:val="22"/>
          <w:lang w:eastAsia="en-NZ"/>
        </w:rPr>
        <w:t xml:space="preserve"> for fruit and vegetables permitted to be irradiated</w:t>
      </w:r>
      <w:r w:rsidRPr="00082104">
        <w:rPr>
          <w:rFonts w:cs="Arial"/>
          <w:szCs w:val="22"/>
          <w:lang w:eastAsia="en-NZ"/>
        </w:rPr>
        <w:t xml:space="preserve">, to 30 </w:t>
      </w:r>
      <w:proofErr w:type="spellStart"/>
      <w:r w:rsidRPr="00082104">
        <w:rPr>
          <w:rFonts w:cs="Arial"/>
          <w:szCs w:val="22"/>
          <w:lang w:eastAsia="en-NZ"/>
        </w:rPr>
        <w:t>kGy</w:t>
      </w:r>
      <w:proofErr w:type="spellEnd"/>
      <w:r w:rsidRPr="00082104">
        <w:rPr>
          <w:rFonts w:cs="Arial"/>
          <w:szCs w:val="22"/>
          <w:lang w:eastAsia="en-NZ"/>
        </w:rPr>
        <w:t xml:space="preserve"> for herbs and spices. </w:t>
      </w:r>
    </w:p>
    <w:p w14:paraId="4052AEF7" w14:textId="0A4D2D23" w:rsidR="00776696" w:rsidRDefault="00977F09" w:rsidP="00E074E6">
      <w:pPr>
        <w:pStyle w:val="Heading2"/>
      </w:pPr>
      <w:bookmarkStart w:id="16" w:name="_Toc440466198"/>
      <w:bookmarkStart w:id="17" w:name="_Toc467141084"/>
      <w:r>
        <w:t>6</w:t>
      </w:r>
      <w:r w:rsidR="00776696" w:rsidRPr="00C65FDB">
        <w:tab/>
        <w:t>Safety of irradiated food</w:t>
      </w:r>
      <w:bookmarkEnd w:id="16"/>
      <w:bookmarkEnd w:id="17"/>
    </w:p>
    <w:p w14:paraId="7AEC1162" w14:textId="7753D973" w:rsidR="00A22608" w:rsidRPr="009E562D" w:rsidRDefault="00EA005F" w:rsidP="00B03817">
      <w:pPr>
        <w:shd w:val="clear" w:color="auto" w:fill="FFFFFF"/>
        <w:rPr>
          <w:rFonts w:cs="Arial"/>
          <w:szCs w:val="22"/>
        </w:rPr>
      </w:pPr>
      <w:r w:rsidRPr="009E562D">
        <w:rPr>
          <w:rFonts w:cs="Arial"/>
          <w:szCs w:val="22"/>
        </w:rPr>
        <w:t xml:space="preserve">There is an extensive body of evidence demonstrating that the consumption of irradiated foodstuffs is safe for consumers. </w:t>
      </w:r>
      <w:r w:rsidR="00A22608" w:rsidRPr="009E562D">
        <w:rPr>
          <w:rFonts w:cs="Arial"/>
          <w:szCs w:val="22"/>
        </w:rPr>
        <w:t xml:space="preserve">This evidence is detailed in the risk assessments prepared by FSANZ in relation to </w:t>
      </w:r>
      <w:r w:rsidR="006C05B6">
        <w:rPr>
          <w:rFonts w:cs="Arial"/>
          <w:szCs w:val="22"/>
        </w:rPr>
        <w:t>applications to permit</w:t>
      </w:r>
      <w:r w:rsidR="00A22608" w:rsidRPr="009E562D">
        <w:rPr>
          <w:rFonts w:cs="Arial"/>
          <w:szCs w:val="22"/>
        </w:rPr>
        <w:t xml:space="preserve"> irradiation </w:t>
      </w:r>
      <w:r w:rsidR="006C05B6">
        <w:rPr>
          <w:rFonts w:cs="Arial"/>
          <w:szCs w:val="22"/>
        </w:rPr>
        <w:t>of foods</w:t>
      </w:r>
      <w:r w:rsidR="00154F4C">
        <w:rPr>
          <w:rFonts w:cs="Arial"/>
          <w:szCs w:val="22"/>
        </w:rPr>
        <w:t>.</w:t>
      </w:r>
      <w:r w:rsidR="006C05B6">
        <w:rPr>
          <w:rFonts w:cs="Arial"/>
          <w:szCs w:val="22"/>
        </w:rPr>
        <w:t xml:space="preserve"> </w:t>
      </w:r>
    </w:p>
    <w:p w14:paraId="09E14A9C" w14:textId="4D76EB5D" w:rsidR="00A22608" w:rsidRPr="009E562D" w:rsidRDefault="00A22608" w:rsidP="00A22608">
      <w:pPr>
        <w:rPr>
          <w:rFonts w:cs="Arial"/>
        </w:rPr>
      </w:pPr>
    </w:p>
    <w:p w14:paraId="77AADA42" w14:textId="77777777" w:rsidR="00B03817" w:rsidRDefault="00B03817" w:rsidP="00B03817">
      <w:pPr>
        <w:widowControl/>
        <w:autoSpaceDE w:val="0"/>
        <w:autoSpaceDN w:val="0"/>
        <w:adjustRightInd w:val="0"/>
        <w:rPr>
          <w:rFonts w:cs="Arial"/>
        </w:rPr>
      </w:pPr>
      <w:r>
        <w:rPr>
          <w:rFonts w:cs="Arial"/>
        </w:rPr>
        <w:t>FSANZ assessed the safety of irradiated herbs, spices and herbal infusions in 2001 for the following purposes:</w:t>
      </w:r>
    </w:p>
    <w:p w14:paraId="6C49ECDE" w14:textId="77777777" w:rsidR="006C05B6" w:rsidRDefault="006C05B6" w:rsidP="00B03817">
      <w:pPr>
        <w:widowControl/>
        <w:autoSpaceDE w:val="0"/>
        <w:autoSpaceDN w:val="0"/>
        <w:adjustRightInd w:val="0"/>
        <w:rPr>
          <w:rFonts w:cs="Arial"/>
        </w:rPr>
      </w:pPr>
    </w:p>
    <w:p w14:paraId="17732787" w14:textId="77777777" w:rsidR="00B03817" w:rsidRDefault="00B03817" w:rsidP="00B03817">
      <w:pPr>
        <w:pStyle w:val="FSBullet1"/>
        <w:widowControl/>
        <w:numPr>
          <w:ilvl w:val="0"/>
          <w:numId w:val="15"/>
        </w:numPr>
        <w:ind w:left="567" w:hanging="567"/>
        <w:rPr>
          <w:lang w:eastAsia="en-GB"/>
        </w:rPr>
      </w:pPr>
      <w:r>
        <w:rPr>
          <w:lang w:eastAsia="en-GB"/>
        </w:rPr>
        <w:t>s</w:t>
      </w:r>
      <w:r w:rsidRPr="0048614F">
        <w:rPr>
          <w:lang w:eastAsia="en-GB"/>
        </w:rPr>
        <w:t>prout inhibition</w:t>
      </w:r>
    </w:p>
    <w:p w14:paraId="62183889" w14:textId="77777777" w:rsidR="00B03817" w:rsidRDefault="00B03817" w:rsidP="00B03817">
      <w:pPr>
        <w:pStyle w:val="FSBullet1"/>
        <w:widowControl/>
        <w:numPr>
          <w:ilvl w:val="0"/>
          <w:numId w:val="15"/>
        </w:numPr>
        <w:ind w:left="567" w:hanging="567"/>
        <w:rPr>
          <w:lang w:eastAsia="en-GB"/>
        </w:rPr>
      </w:pPr>
      <w:r>
        <w:rPr>
          <w:lang w:eastAsia="en-GB"/>
        </w:rPr>
        <w:t>disinfestation</w:t>
      </w:r>
    </w:p>
    <w:p w14:paraId="1B118FCF" w14:textId="77777777" w:rsidR="00B03817" w:rsidRDefault="00B03817" w:rsidP="00B03817">
      <w:pPr>
        <w:pStyle w:val="FSBullet1"/>
        <w:widowControl/>
        <w:numPr>
          <w:ilvl w:val="0"/>
          <w:numId w:val="15"/>
        </w:numPr>
        <w:ind w:left="567" w:hanging="567"/>
        <w:rPr>
          <w:lang w:eastAsia="en-GB"/>
        </w:rPr>
      </w:pPr>
      <w:r>
        <w:rPr>
          <w:lang w:eastAsia="en-GB"/>
        </w:rPr>
        <w:t>d</w:t>
      </w:r>
      <w:r w:rsidRPr="0048614F">
        <w:rPr>
          <w:lang w:eastAsia="en-GB"/>
        </w:rPr>
        <w:t>econtamination</w:t>
      </w:r>
    </w:p>
    <w:p w14:paraId="6238C08C" w14:textId="77777777" w:rsidR="00B03817" w:rsidRDefault="00B03817" w:rsidP="00B03817">
      <w:pPr>
        <w:pStyle w:val="FSBullet1"/>
        <w:widowControl/>
        <w:numPr>
          <w:ilvl w:val="0"/>
          <w:numId w:val="15"/>
        </w:numPr>
        <w:ind w:left="567" w:hanging="567"/>
      </w:pPr>
      <w:proofErr w:type="gramStart"/>
      <w:r>
        <w:rPr>
          <w:lang w:eastAsia="en-GB"/>
        </w:rPr>
        <w:t>c</w:t>
      </w:r>
      <w:r w:rsidRPr="0048614F">
        <w:rPr>
          <w:lang w:eastAsia="en-GB"/>
        </w:rPr>
        <w:t>ontrol</w:t>
      </w:r>
      <w:proofErr w:type="gramEnd"/>
      <w:r w:rsidRPr="0048614F">
        <w:rPr>
          <w:lang w:eastAsia="en-GB"/>
        </w:rPr>
        <w:t xml:space="preserve"> of weeds</w:t>
      </w:r>
      <w:r w:rsidRPr="0048614F">
        <w:rPr>
          <w:rStyle w:val="FootnoteReference"/>
        </w:rPr>
        <w:footnoteReference w:id="6"/>
      </w:r>
      <w:r w:rsidRPr="0048614F">
        <w:t xml:space="preserve">. </w:t>
      </w:r>
    </w:p>
    <w:p w14:paraId="183F4698" w14:textId="77777777" w:rsidR="006C05B6" w:rsidRPr="006C05B6" w:rsidRDefault="006C05B6" w:rsidP="006C05B6"/>
    <w:p w14:paraId="458AEB66" w14:textId="31471259" w:rsidR="00B03817" w:rsidRDefault="00B03817" w:rsidP="00B03817">
      <w:pPr>
        <w:widowControl/>
        <w:rPr>
          <w:rFonts w:cs="Arial"/>
        </w:rPr>
      </w:pPr>
      <w:r>
        <w:rPr>
          <w:rFonts w:cs="Arial"/>
          <w:szCs w:val="22"/>
          <w:lang w:eastAsia="en-GB" w:bidi="ar-SA"/>
        </w:rPr>
        <w:t xml:space="preserve">The maximum doses for herbal infusions and herbs/spices were 10 </w:t>
      </w:r>
      <w:proofErr w:type="spellStart"/>
      <w:r>
        <w:rPr>
          <w:rFonts w:cs="Arial"/>
          <w:szCs w:val="22"/>
          <w:lang w:eastAsia="en-GB" w:bidi="ar-SA"/>
        </w:rPr>
        <w:t>kGy</w:t>
      </w:r>
      <w:proofErr w:type="spellEnd"/>
      <w:r>
        <w:rPr>
          <w:rFonts w:cs="Arial"/>
          <w:szCs w:val="22"/>
          <w:lang w:eastAsia="en-GB" w:bidi="ar-SA"/>
        </w:rPr>
        <w:t xml:space="preserve"> and 30 </w:t>
      </w:r>
      <w:proofErr w:type="spellStart"/>
      <w:r>
        <w:rPr>
          <w:rFonts w:cs="Arial"/>
          <w:szCs w:val="22"/>
          <w:lang w:eastAsia="en-GB" w:bidi="ar-SA"/>
        </w:rPr>
        <w:t>kGy</w:t>
      </w:r>
      <w:proofErr w:type="spellEnd"/>
      <w:r>
        <w:rPr>
          <w:rFonts w:cs="Arial"/>
          <w:szCs w:val="22"/>
          <w:lang w:eastAsia="en-GB" w:bidi="ar-SA"/>
        </w:rPr>
        <w:t xml:space="preserve">, respectively, for bacterial decontamination. </w:t>
      </w:r>
      <w:r w:rsidRPr="00927255">
        <w:rPr>
          <w:rFonts w:cs="Arial"/>
          <w:szCs w:val="22"/>
          <w:lang w:eastAsia="en-GB" w:bidi="ar-SA"/>
        </w:rPr>
        <w:t>The scientific risk assessment concluded that the irradiated foods were safe to consume.</w:t>
      </w:r>
    </w:p>
    <w:p w14:paraId="7CBF7EBC" w14:textId="77777777" w:rsidR="00B03817" w:rsidRDefault="00B03817" w:rsidP="00B03817">
      <w:pPr>
        <w:rPr>
          <w:rFonts w:cs="Arial"/>
        </w:rPr>
      </w:pPr>
    </w:p>
    <w:p w14:paraId="3DC65414" w14:textId="237FA29B" w:rsidR="00E47CD7" w:rsidRDefault="00E47CD7" w:rsidP="00B03817">
      <w:pPr>
        <w:rPr>
          <w:rFonts w:cs="Arial"/>
        </w:rPr>
      </w:pPr>
      <w:r w:rsidRPr="008E3844">
        <w:rPr>
          <w:rFonts w:cs="Arial"/>
        </w:rPr>
        <w:t>FSANZ has</w:t>
      </w:r>
      <w:r>
        <w:rPr>
          <w:rFonts w:cs="Arial"/>
        </w:rPr>
        <w:t xml:space="preserve"> </w:t>
      </w:r>
      <w:r w:rsidRPr="008E3844">
        <w:rPr>
          <w:rFonts w:cs="Arial"/>
        </w:rPr>
        <w:t xml:space="preserve">assessed the technological need, safety and nutrient profile of various </w:t>
      </w:r>
      <w:r>
        <w:rPr>
          <w:rFonts w:cs="Arial"/>
        </w:rPr>
        <w:t>fruits and vegetables</w:t>
      </w:r>
      <w:r w:rsidRPr="00820C00">
        <w:rPr>
          <w:rFonts w:cs="Arial"/>
        </w:rPr>
        <w:t xml:space="preserve"> </w:t>
      </w:r>
      <w:r w:rsidR="006C05B6">
        <w:rPr>
          <w:rFonts w:cs="Arial"/>
        </w:rPr>
        <w:t xml:space="preserve">irradiated </w:t>
      </w:r>
      <w:r>
        <w:rPr>
          <w:rFonts w:cs="Arial"/>
        </w:rPr>
        <w:t>for phytosanitary purpose</w:t>
      </w:r>
      <w:r w:rsidR="00AD37FB">
        <w:rPr>
          <w:rFonts w:cs="Arial"/>
        </w:rPr>
        <w:t>s</w:t>
      </w:r>
      <w:r w:rsidRPr="008E3844">
        <w:rPr>
          <w:rFonts w:cs="Arial"/>
        </w:rPr>
        <w:t>. These assessments were conducted in</w:t>
      </w:r>
      <w:r>
        <w:rPr>
          <w:rFonts w:cs="Arial"/>
        </w:rPr>
        <w:t>:</w:t>
      </w:r>
    </w:p>
    <w:p w14:paraId="7C946917" w14:textId="77777777" w:rsidR="00E47CD7" w:rsidRDefault="00E47CD7" w:rsidP="00E47CD7">
      <w:pPr>
        <w:widowControl/>
        <w:rPr>
          <w:rFonts w:cs="Arial"/>
        </w:rPr>
      </w:pPr>
    </w:p>
    <w:p w14:paraId="649091C9" w14:textId="77777777" w:rsidR="00E47CD7" w:rsidRDefault="00E47CD7" w:rsidP="00E47CD7">
      <w:pPr>
        <w:pStyle w:val="FSBullet1"/>
        <w:widowControl/>
        <w:numPr>
          <w:ilvl w:val="0"/>
          <w:numId w:val="15"/>
        </w:numPr>
        <w:ind w:left="567" w:hanging="567"/>
      </w:pPr>
      <w:r w:rsidRPr="008E3844">
        <w:t>2002</w:t>
      </w:r>
      <w:r>
        <w:t xml:space="preserve"> for b</w:t>
      </w:r>
      <w:r w:rsidRPr="000272B3">
        <w:t xml:space="preserve">readfruit, carambola, custard apple, litchi, </w:t>
      </w:r>
      <w:proofErr w:type="spellStart"/>
      <w:r w:rsidRPr="000272B3">
        <w:t>longan</w:t>
      </w:r>
      <w:proofErr w:type="spellEnd"/>
      <w:r w:rsidRPr="000272B3">
        <w:t xml:space="preserve">, mango, </w:t>
      </w:r>
      <w:proofErr w:type="spellStart"/>
      <w:r w:rsidRPr="000272B3">
        <w:t>mangosteen</w:t>
      </w:r>
      <w:proofErr w:type="spellEnd"/>
      <w:r w:rsidRPr="000272B3">
        <w:t xml:space="preserve">, papaya and </w:t>
      </w:r>
      <w:proofErr w:type="spellStart"/>
      <w:r w:rsidRPr="000272B3">
        <w:t>rambutan</w:t>
      </w:r>
      <w:proofErr w:type="spellEnd"/>
      <w:r>
        <w:rPr>
          <w:rStyle w:val="FootnoteReference"/>
        </w:rPr>
        <w:footnoteReference w:id="7"/>
      </w:r>
    </w:p>
    <w:p w14:paraId="3EC34592" w14:textId="77777777" w:rsidR="00E47CD7" w:rsidRDefault="00E47CD7" w:rsidP="00E47CD7">
      <w:pPr>
        <w:pStyle w:val="FSBullet1"/>
        <w:widowControl/>
        <w:numPr>
          <w:ilvl w:val="0"/>
          <w:numId w:val="15"/>
        </w:numPr>
        <w:ind w:left="567" w:hanging="567"/>
      </w:pPr>
      <w:r w:rsidRPr="008E3844">
        <w:t>2011</w:t>
      </w:r>
      <w:r>
        <w:t xml:space="preserve"> for persimmons</w:t>
      </w:r>
      <w:r w:rsidRPr="008E3844">
        <w:rPr>
          <w:vertAlign w:val="superscript"/>
        </w:rPr>
        <w:footnoteReference w:id="8"/>
      </w:r>
    </w:p>
    <w:p w14:paraId="0A59CC09" w14:textId="77777777" w:rsidR="00E47CD7" w:rsidRDefault="00E47CD7" w:rsidP="00E47CD7">
      <w:pPr>
        <w:pStyle w:val="FSBullet1"/>
        <w:widowControl/>
        <w:numPr>
          <w:ilvl w:val="0"/>
          <w:numId w:val="15"/>
        </w:numPr>
        <w:ind w:left="567" w:hanging="567"/>
      </w:pPr>
      <w:r w:rsidRPr="008E3844">
        <w:t>2013</w:t>
      </w:r>
      <w:r>
        <w:t xml:space="preserve"> for tomatoes and capsicums</w:t>
      </w:r>
      <w:r w:rsidRPr="008E3844">
        <w:rPr>
          <w:vertAlign w:val="superscript"/>
        </w:rPr>
        <w:footnoteReference w:id="9"/>
      </w:r>
      <w:r w:rsidRPr="008E3844">
        <w:t xml:space="preserve">, </w:t>
      </w:r>
      <w:r>
        <w:t>and</w:t>
      </w:r>
    </w:p>
    <w:p w14:paraId="25233952" w14:textId="77777777" w:rsidR="00E47CD7" w:rsidRDefault="00E47CD7" w:rsidP="00E47CD7">
      <w:pPr>
        <w:pStyle w:val="FSBullet1"/>
        <w:widowControl/>
        <w:numPr>
          <w:ilvl w:val="0"/>
          <w:numId w:val="15"/>
        </w:numPr>
        <w:ind w:left="567" w:hanging="567"/>
      </w:pPr>
      <w:r>
        <w:t xml:space="preserve">2014 for </w:t>
      </w:r>
      <w:r w:rsidRPr="001E1CEE">
        <w:t xml:space="preserve">apple, apricot, cherry, nectarine, peach, plum, honeydew, </w:t>
      </w:r>
      <w:proofErr w:type="spellStart"/>
      <w:r w:rsidRPr="001E1CEE">
        <w:t>rockmelon</w:t>
      </w:r>
      <w:proofErr w:type="spellEnd"/>
      <w:r w:rsidRPr="001E1CEE">
        <w:t xml:space="preserve">, </w:t>
      </w:r>
      <w:proofErr w:type="spellStart"/>
      <w:r w:rsidRPr="001E1CEE">
        <w:t>scallopini</w:t>
      </w:r>
      <w:proofErr w:type="spellEnd"/>
      <w:r w:rsidRPr="001E1CEE">
        <w:rPr>
          <w:vertAlign w:val="superscript"/>
        </w:rPr>
        <w:footnoteReference w:id="10"/>
      </w:r>
      <w:r w:rsidRPr="001E1CEE">
        <w:t>, strawberry, table grape and zucchini (courgette)</w:t>
      </w:r>
      <w:r>
        <w:rPr>
          <w:rStyle w:val="FootnoteReference"/>
        </w:rPr>
        <w:footnoteReference w:id="11"/>
      </w:r>
      <w:r>
        <w:t xml:space="preserve">. </w:t>
      </w:r>
    </w:p>
    <w:p w14:paraId="7F43DB2C" w14:textId="77777777" w:rsidR="00E47CD7" w:rsidRPr="009E562D" w:rsidRDefault="00E47CD7" w:rsidP="00A22608">
      <w:pPr>
        <w:rPr>
          <w:rFonts w:cs="Arial"/>
        </w:rPr>
      </w:pPr>
    </w:p>
    <w:p w14:paraId="0A75EECC" w14:textId="4636B207" w:rsidR="00B03817" w:rsidRPr="00E0448E" w:rsidRDefault="00E47CD7" w:rsidP="00B03817">
      <w:pPr>
        <w:pStyle w:val="FSBullet"/>
        <w:numPr>
          <w:ilvl w:val="0"/>
          <w:numId w:val="0"/>
        </w:numPr>
      </w:pPr>
      <w:r w:rsidRPr="00E47CD7">
        <w:t xml:space="preserve">For each of these assessments, FSANZ </w:t>
      </w:r>
      <w:r w:rsidRPr="006C1B70">
        <w:t xml:space="preserve">concluded that there was an established need to irradiate these foods and that there were no public health and safety issues associated with their consumption when irradiated up to a maximum dose of 1 </w:t>
      </w:r>
      <w:proofErr w:type="spellStart"/>
      <w:r w:rsidRPr="006C1B70">
        <w:t>kGy</w:t>
      </w:r>
      <w:proofErr w:type="spellEnd"/>
      <w:r w:rsidRPr="006C1B70">
        <w:t xml:space="preserve">. </w:t>
      </w:r>
      <w:r w:rsidR="00B03817" w:rsidRPr="006C1B70">
        <w:t xml:space="preserve">Refer to Table </w:t>
      </w:r>
      <w:r w:rsidR="006C1B70" w:rsidRPr="006C1B70">
        <w:t>2</w:t>
      </w:r>
      <w:r w:rsidR="00E0448E" w:rsidRPr="006C1B70">
        <w:t xml:space="preserve"> in Section</w:t>
      </w:r>
      <w:r w:rsidR="006C1B70" w:rsidRPr="006C1B70">
        <w:t xml:space="preserve"> 4</w:t>
      </w:r>
      <w:r w:rsidR="00B03817" w:rsidRPr="006C1B70">
        <w:t xml:space="preserve"> for the</w:t>
      </w:r>
      <w:r w:rsidR="00B03817" w:rsidRPr="00E0448E">
        <w:t xml:space="preserve"> current permissions in the Code.</w:t>
      </w:r>
    </w:p>
    <w:p w14:paraId="416CA3E3" w14:textId="77777777" w:rsidR="00B03817" w:rsidRPr="00E0448E" w:rsidRDefault="00B03817" w:rsidP="00E47CD7">
      <w:pPr>
        <w:rPr>
          <w:rFonts w:cs="Arial"/>
          <w:szCs w:val="22"/>
          <w:u w:val="single"/>
        </w:rPr>
      </w:pPr>
    </w:p>
    <w:p w14:paraId="6FD8A2AF" w14:textId="6DAA1090" w:rsidR="00DF75F9" w:rsidRDefault="006A5E1B" w:rsidP="00E47CD7">
      <w:pPr>
        <w:rPr>
          <w:rFonts w:cs="Arial"/>
          <w:szCs w:val="22"/>
          <w:u w:val="single"/>
        </w:rPr>
      </w:pPr>
      <w:r w:rsidRPr="006A5E1B">
        <w:rPr>
          <w:rFonts w:cs="Arial"/>
          <w:szCs w:val="22"/>
        </w:rPr>
        <w:t>Most recently FSANZ has approved permission to irradiate blueberries and raspberries</w:t>
      </w:r>
      <w:r>
        <w:rPr>
          <w:rFonts w:cs="Arial"/>
          <w:szCs w:val="22"/>
        </w:rPr>
        <w:t xml:space="preserve"> </w:t>
      </w:r>
      <w:r w:rsidR="00E0448E" w:rsidRPr="00E0448E">
        <w:t>for phytosanitary purposes against fruit flies and other regulated insect pests</w:t>
      </w:r>
      <w:r w:rsidR="00DF75F9">
        <w:t>.</w:t>
      </w:r>
      <w:r w:rsidR="00DF75F9">
        <w:rPr>
          <w:rStyle w:val="FootnoteReference"/>
        </w:rPr>
        <w:footnoteReference w:id="12"/>
      </w:r>
      <w:r w:rsidR="00F51D3A">
        <w:t xml:space="preserve">  </w:t>
      </w:r>
    </w:p>
    <w:p w14:paraId="7AF6C1A7" w14:textId="69D59BF6" w:rsidR="00A22608" w:rsidRPr="009E562D" w:rsidRDefault="00977F09" w:rsidP="00E074E6">
      <w:pPr>
        <w:pStyle w:val="Heading3"/>
      </w:pPr>
      <w:bookmarkStart w:id="18" w:name="_Toc467141085"/>
      <w:r>
        <w:lastRenderedPageBreak/>
        <w:t>6</w:t>
      </w:r>
      <w:r w:rsidR="00E074E6">
        <w:t>.1</w:t>
      </w:r>
      <w:r w:rsidR="00E074E6">
        <w:tab/>
      </w:r>
      <w:r w:rsidR="00A22608" w:rsidRPr="009E562D">
        <w:t>Key studies on the safety of irradiated foods</w:t>
      </w:r>
      <w:bookmarkEnd w:id="18"/>
    </w:p>
    <w:p w14:paraId="552B279A" w14:textId="77777777" w:rsidR="00A22608" w:rsidRPr="009E562D" w:rsidRDefault="00A22608" w:rsidP="00A22608">
      <w:pPr>
        <w:rPr>
          <w:rFonts w:cs="Arial"/>
          <w:szCs w:val="22"/>
        </w:rPr>
      </w:pPr>
      <w:r w:rsidRPr="009E562D">
        <w:rPr>
          <w:rFonts w:cs="Arial"/>
          <w:szCs w:val="22"/>
        </w:rPr>
        <w:t xml:space="preserve">The safety of irradiated foods has been extensively examined in both long-term animal-feeding studies, including studies of up to 90 days’ duration with 35 different varieties of irradiated foods, and in studies in humans. </w:t>
      </w:r>
    </w:p>
    <w:p w14:paraId="739B1B8E" w14:textId="77777777" w:rsidR="00A22608" w:rsidRPr="009E562D" w:rsidRDefault="00A22608" w:rsidP="00A22608">
      <w:pPr>
        <w:rPr>
          <w:rFonts w:cs="Arial"/>
          <w:szCs w:val="22"/>
        </w:rPr>
      </w:pPr>
    </w:p>
    <w:p w14:paraId="4F88E079" w14:textId="58D28480" w:rsidR="00082396" w:rsidRDefault="00082396" w:rsidP="00082396">
      <w:pPr>
        <w:rPr>
          <w:rFonts w:cs="Arial"/>
          <w:szCs w:val="22"/>
          <w:lang w:eastAsia="en-NZ"/>
        </w:rPr>
      </w:pPr>
      <w:r w:rsidRPr="006416F4">
        <w:rPr>
          <w:rFonts w:cs="Arial"/>
          <w:szCs w:val="22"/>
          <w:lang w:eastAsia="en-NZ"/>
        </w:rPr>
        <w:t>Research has shown that food irradiation is safe and effective. The process has been examined thoroughly by the European Community Scientific Committee for Food (SCF 1986)</w:t>
      </w:r>
      <w:r>
        <w:rPr>
          <w:rFonts w:cs="Arial"/>
          <w:szCs w:val="22"/>
          <w:lang w:eastAsia="en-NZ"/>
        </w:rPr>
        <w:t xml:space="preserve"> and </w:t>
      </w:r>
      <w:r w:rsidRPr="006416F4">
        <w:rPr>
          <w:rFonts w:cs="Arial"/>
          <w:szCs w:val="22"/>
          <w:lang w:eastAsia="en-NZ"/>
        </w:rPr>
        <w:t>the United States Food and Drug Administration (US</w:t>
      </w:r>
      <w:r>
        <w:rPr>
          <w:rFonts w:cs="Arial"/>
          <w:szCs w:val="22"/>
          <w:lang w:eastAsia="en-NZ"/>
        </w:rPr>
        <w:t xml:space="preserve"> </w:t>
      </w:r>
      <w:r w:rsidRPr="006416F4">
        <w:rPr>
          <w:rFonts w:cs="Arial"/>
          <w:szCs w:val="22"/>
          <w:lang w:eastAsia="en-NZ"/>
        </w:rPr>
        <w:t>FDA 1986)</w:t>
      </w:r>
      <w:r>
        <w:rPr>
          <w:rFonts w:cs="Arial"/>
          <w:szCs w:val="22"/>
          <w:lang w:eastAsia="en-NZ"/>
        </w:rPr>
        <w:t xml:space="preserve">. </w:t>
      </w:r>
    </w:p>
    <w:p w14:paraId="7DE0CF4C" w14:textId="77777777" w:rsidR="00082396" w:rsidRDefault="00082396" w:rsidP="00082396">
      <w:pPr>
        <w:rPr>
          <w:rFonts w:cs="Arial"/>
        </w:rPr>
      </w:pPr>
    </w:p>
    <w:p w14:paraId="207D03E9" w14:textId="09AC328D" w:rsidR="00A22608" w:rsidRPr="009E562D" w:rsidRDefault="00A22608" w:rsidP="00A22608">
      <w:pPr>
        <w:rPr>
          <w:rFonts w:cs="Arial"/>
          <w:szCs w:val="22"/>
        </w:rPr>
      </w:pPr>
      <w:r w:rsidRPr="009E562D">
        <w:rPr>
          <w:rFonts w:cs="Arial"/>
          <w:szCs w:val="22"/>
        </w:rPr>
        <w:t>The W</w:t>
      </w:r>
      <w:r w:rsidR="00082396">
        <w:rPr>
          <w:rFonts w:cs="Arial"/>
          <w:szCs w:val="22"/>
        </w:rPr>
        <w:t>orld Health Organization (WH</w:t>
      </w:r>
      <w:r w:rsidRPr="009E562D">
        <w:rPr>
          <w:rFonts w:cs="Arial"/>
          <w:szCs w:val="22"/>
        </w:rPr>
        <w:t>O</w:t>
      </w:r>
      <w:r w:rsidR="00082396">
        <w:rPr>
          <w:rFonts w:cs="Arial"/>
          <w:szCs w:val="22"/>
        </w:rPr>
        <w:t>)</w:t>
      </w:r>
      <w:r w:rsidRPr="009E562D">
        <w:rPr>
          <w:rFonts w:cs="Arial"/>
          <w:szCs w:val="22"/>
        </w:rPr>
        <w:t xml:space="preserve"> has also examined, in detail, the safety and nutritional adequacy of irradiated foods and produced two extensive reports</w:t>
      </w:r>
      <w:r w:rsidR="00082396">
        <w:rPr>
          <w:rFonts w:cs="Arial"/>
          <w:szCs w:val="22"/>
        </w:rPr>
        <w:t xml:space="preserve"> (WHO 1994, WHO 1999)</w:t>
      </w:r>
      <w:r w:rsidRPr="009E562D">
        <w:rPr>
          <w:rFonts w:cs="Arial"/>
          <w:szCs w:val="22"/>
        </w:rPr>
        <w:t>.</w:t>
      </w:r>
    </w:p>
    <w:p w14:paraId="770BB5B7" w14:textId="77777777" w:rsidR="00A22608" w:rsidRPr="009E562D" w:rsidRDefault="00A22608" w:rsidP="00A22608">
      <w:pPr>
        <w:rPr>
          <w:rFonts w:cs="Arial"/>
          <w:szCs w:val="22"/>
        </w:rPr>
      </w:pPr>
    </w:p>
    <w:p w14:paraId="00267903" w14:textId="2E1BEF57" w:rsidR="00156C2E" w:rsidRDefault="00A22608" w:rsidP="00156C2E">
      <w:pPr>
        <w:rPr>
          <w:rFonts w:cs="Arial"/>
          <w:szCs w:val="22"/>
        </w:rPr>
      </w:pPr>
      <w:r w:rsidRPr="009E562D">
        <w:rPr>
          <w:rFonts w:cs="Arial"/>
          <w:szCs w:val="22"/>
        </w:rPr>
        <w:t>An FAO/IAEA/WHO expert committee examined the wholesomeness, safety and nutritional adequacy of irradiated food (WHO 1999). It concluded that:</w:t>
      </w:r>
    </w:p>
    <w:p w14:paraId="2BF83F4E" w14:textId="77777777" w:rsidR="00156C2E" w:rsidRDefault="00156C2E" w:rsidP="00156C2E">
      <w:pPr>
        <w:rPr>
          <w:rFonts w:cs="Arial"/>
          <w:szCs w:val="22"/>
        </w:rPr>
      </w:pPr>
    </w:p>
    <w:p w14:paraId="25D77ED4" w14:textId="5EFD06BC" w:rsidR="00A22608" w:rsidRPr="009E562D" w:rsidRDefault="00A22608" w:rsidP="00156C2E">
      <w:pPr>
        <w:ind w:left="567"/>
        <w:rPr>
          <w:rFonts w:cs="Arial"/>
          <w:i/>
          <w:iCs/>
          <w:szCs w:val="22"/>
        </w:rPr>
      </w:pPr>
      <w:r w:rsidRPr="009E562D">
        <w:rPr>
          <w:rFonts w:cs="Arial"/>
          <w:i/>
          <w:iCs/>
          <w:szCs w:val="22"/>
        </w:rPr>
        <w:t>Food irradiated to any dose appropriate to achieve the intended technological objective is both safe to consume and nutritionally adequate. This conclusion is based on extensive scientific evidence that this preservation process can be used effectively to eliminate spores of proteolytic strains of Clostridium botulinum and all spoilage micro-organisms, that it does not compromise the nutritional value of foods, and that it does not result in any toxicological hazard.</w:t>
      </w:r>
    </w:p>
    <w:p w14:paraId="4FBA7E90" w14:textId="77777777" w:rsidR="00E074E6" w:rsidRDefault="00E074E6" w:rsidP="00A22608"/>
    <w:p w14:paraId="69797DF4" w14:textId="3984ADE7" w:rsidR="00A22608" w:rsidRPr="009E562D" w:rsidRDefault="00E636CA" w:rsidP="00A22608">
      <w:r>
        <w:t xml:space="preserve">A </w:t>
      </w:r>
      <w:r w:rsidR="00A22608" w:rsidRPr="009E562D">
        <w:t xml:space="preserve">1999 WHO monograph on food irradiation prepared by the Joint FAO/IAEA/WHO Study Group evaluated an extensive database of long-term feeding studies conducted in laboratory animals (rats, mice, dogs, quails, hamsters, chickens, pigs and monkeys). These studies tested a range of foods that would have contained </w:t>
      </w:r>
      <w:proofErr w:type="spellStart"/>
      <w:r w:rsidR="00A22608" w:rsidRPr="009E562D">
        <w:t>radiolytic</w:t>
      </w:r>
      <w:proofErr w:type="spellEnd"/>
      <w:r w:rsidR="00A22608" w:rsidRPr="009E562D">
        <w:t xml:space="preserve"> compounds both naturally occurring and potentially unique to irradiated food</w:t>
      </w:r>
      <w:r w:rsidR="00156C2E">
        <w:t xml:space="preserve"> (</w:t>
      </w:r>
      <w:r w:rsidR="00F542C4">
        <w:t xml:space="preserve">refer to the next section for a more detailed discussion on </w:t>
      </w:r>
      <w:proofErr w:type="spellStart"/>
      <w:r w:rsidR="00156C2E">
        <w:t>radiolytic</w:t>
      </w:r>
      <w:proofErr w:type="spellEnd"/>
      <w:r w:rsidR="00156C2E">
        <w:t xml:space="preserve"> compounds</w:t>
      </w:r>
      <w:r w:rsidR="00F542C4">
        <w:t>)</w:t>
      </w:r>
      <w:r w:rsidR="00A22608" w:rsidRPr="009E562D">
        <w:t xml:space="preserve">. For example, 22 studies of at least two years’ duration were conducted in rats, with many more studies conducted over shorter durations. In mice, 12 studies ranging up to </w:t>
      </w:r>
      <w:r w:rsidR="00F542C4">
        <w:t>two</w:t>
      </w:r>
      <w:r w:rsidR="00A22608" w:rsidRPr="009E562D">
        <w:t xml:space="preserve"> years were conducted, while long-term dog studies were conducted for 2</w:t>
      </w:r>
      <w:r w:rsidR="00A22608" w:rsidRPr="009E562D">
        <w:sym w:font="Symbol" w:char="F02D"/>
      </w:r>
      <w:r w:rsidR="00A22608" w:rsidRPr="009E562D">
        <w:t xml:space="preserve">4 years. These studies found no evidence to indicate that the consumption of irradiated food is carcinogenic or caused any other adverse effects. </w:t>
      </w:r>
    </w:p>
    <w:p w14:paraId="74E1E981" w14:textId="77777777" w:rsidR="00A22608" w:rsidRPr="009E562D" w:rsidRDefault="00A22608" w:rsidP="00A22608"/>
    <w:p w14:paraId="19C80156" w14:textId="77777777" w:rsidR="00A22608" w:rsidRPr="009E562D" w:rsidRDefault="00A22608" w:rsidP="00A22608">
      <w:r w:rsidRPr="009E562D">
        <w:t xml:space="preserve">Consistent with these long-term bioassays, the weight-of-evidence from an extensive battery of </w:t>
      </w:r>
      <w:r w:rsidRPr="009E562D">
        <w:rPr>
          <w:i/>
        </w:rPr>
        <w:t>in vitro</w:t>
      </w:r>
      <w:r w:rsidRPr="009E562D">
        <w:t xml:space="preserve"> and </w:t>
      </w:r>
      <w:r w:rsidRPr="009E562D">
        <w:rPr>
          <w:i/>
        </w:rPr>
        <w:t>in vivo</w:t>
      </w:r>
      <w:r w:rsidRPr="009E562D">
        <w:t xml:space="preserve"> genotoxicity assays indicated that irradiated foods are not mutagenic.</w:t>
      </w:r>
    </w:p>
    <w:p w14:paraId="67D3909D" w14:textId="6146D145" w:rsidR="00A22608" w:rsidRPr="009E562D" w:rsidRDefault="00977F09" w:rsidP="00E074E6">
      <w:pPr>
        <w:pStyle w:val="Heading3"/>
      </w:pPr>
      <w:bookmarkStart w:id="19" w:name="_Toc467141086"/>
      <w:r>
        <w:t>6</w:t>
      </w:r>
      <w:r w:rsidR="00E074E6">
        <w:t>.2</w:t>
      </w:r>
      <w:r w:rsidR="00E074E6">
        <w:tab/>
      </w:r>
      <w:r w:rsidR="00A22608" w:rsidRPr="009E562D">
        <w:t>Compounds generated following the irradiation of food</w:t>
      </w:r>
      <w:bookmarkEnd w:id="19"/>
      <w:r w:rsidR="00A22608" w:rsidRPr="009E562D">
        <w:t xml:space="preserve"> </w:t>
      </w:r>
    </w:p>
    <w:p w14:paraId="07C5E860" w14:textId="77777777" w:rsidR="00A22608" w:rsidRPr="009E562D" w:rsidRDefault="00A22608" w:rsidP="00A22608">
      <w:pPr>
        <w:pStyle w:val="NormalWeb"/>
        <w:spacing w:before="0" w:beforeAutospacing="0" w:after="0" w:afterAutospacing="0"/>
        <w:rPr>
          <w:rFonts w:ascii="Arial" w:hAnsi="Arial" w:cs="Arial"/>
          <w:sz w:val="22"/>
          <w:szCs w:val="22"/>
        </w:rPr>
      </w:pPr>
      <w:r w:rsidRPr="009E562D">
        <w:rPr>
          <w:rFonts w:ascii="Arial" w:eastAsiaTheme="minorEastAsia" w:hAnsi="Arial" w:cs="Arial"/>
          <w:color w:val="000000" w:themeColor="text1"/>
          <w:kern w:val="24"/>
          <w:sz w:val="22"/>
          <w:szCs w:val="22"/>
        </w:rPr>
        <w:t xml:space="preserve">There are some compounds generated during the irradiation of foods. </w:t>
      </w:r>
      <w:r w:rsidRPr="009E562D">
        <w:rPr>
          <w:rFonts w:ascii="Arial" w:hAnsi="Arial" w:cs="Arial"/>
          <w:sz w:val="22"/>
          <w:szCs w:val="22"/>
        </w:rPr>
        <w:t xml:space="preserve">These are known as </w:t>
      </w:r>
      <w:proofErr w:type="spellStart"/>
      <w:r w:rsidRPr="009E562D">
        <w:rPr>
          <w:rFonts w:ascii="Arial" w:eastAsiaTheme="minorEastAsia" w:hAnsi="Arial" w:cs="Arial"/>
          <w:color w:val="000000" w:themeColor="text1"/>
          <w:kern w:val="24"/>
          <w:sz w:val="22"/>
          <w:szCs w:val="22"/>
        </w:rPr>
        <w:t>radiolytic</w:t>
      </w:r>
      <w:proofErr w:type="spellEnd"/>
      <w:r w:rsidRPr="009E562D">
        <w:rPr>
          <w:rFonts w:ascii="Arial" w:eastAsiaTheme="minorEastAsia" w:hAnsi="Arial" w:cs="Arial"/>
          <w:color w:val="000000" w:themeColor="text1"/>
          <w:kern w:val="24"/>
          <w:sz w:val="22"/>
          <w:szCs w:val="22"/>
        </w:rPr>
        <w:t xml:space="preserve"> compounds and include free radicals, various hydrocarbons, formaldehyde, amines, furan and 2-alkylcyclobutanones (2-ACBs).</w:t>
      </w:r>
      <w:r w:rsidRPr="009E562D">
        <w:rPr>
          <w:rFonts w:ascii="Arial" w:hAnsi="Arial" w:cs="Arial"/>
          <w:sz w:val="22"/>
          <w:szCs w:val="22"/>
        </w:rPr>
        <w:t xml:space="preserve"> </w:t>
      </w:r>
      <w:r w:rsidRPr="009E562D">
        <w:rPr>
          <w:rFonts w:ascii="Arial" w:eastAsiaTheme="minorEastAsia" w:hAnsi="Arial" w:cs="Arial"/>
          <w:color w:val="000000" w:themeColor="text1"/>
          <w:kern w:val="24"/>
          <w:sz w:val="22"/>
          <w:szCs w:val="22"/>
        </w:rPr>
        <w:t>It is important to note that the majority of these compounds are not unique to irradiated food and are present naturally at low levels in  food or are generated via other processing treatments (like heat).</w:t>
      </w:r>
    </w:p>
    <w:p w14:paraId="4E704CAB" w14:textId="77777777" w:rsidR="00A22608" w:rsidRPr="009E562D" w:rsidRDefault="00A22608" w:rsidP="00A22608">
      <w:pPr>
        <w:pStyle w:val="NormalWeb"/>
        <w:spacing w:before="0" w:beforeAutospacing="0" w:after="0" w:afterAutospacing="0"/>
        <w:rPr>
          <w:rFonts w:ascii="Arial" w:hAnsi="Arial" w:cs="Arial"/>
          <w:sz w:val="22"/>
          <w:szCs w:val="22"/>
        </w:rPr>
      </w:pPr>
    </w:p>
    <w:p w14:paraId="453A12E3" w14:textId="6758B939" w:rsidR="00A22608" w:rsidRDefault="00A22608" w:rsidP="00A22608">
      <w:pPr>
        <w:pStyle w:val="NormalWeb"/>
        <w:spacing w:before="0" w:beforeAutospacing="0" w:after="0" w:afterAutospacing="0"/>
        <w:rPr>
          <w:rFonts w:ascii="Arial" w:eastAsiaTheme="minorEastAsia" w:hAnsi="Arial" w:cs="Arial"/>
          <w:color w:val="000000" w:themeColor="text1"/>
          <w:kern w:val="24"/>
          <w:sz w:val="22"/>
          <w:szCs w:val="22"/>
        </w:rPr>
      </w:pPr>
      <w:r w:rsidRPr="009E562D">
        <w:rPr>
          <w:rFonts w:ascii="Arial" w:eastAsiaTheme="minorEastAsia" w:hAnsi="Arial" w:cs="Arial"/>
          <w:color w:val="000000" w:themeColor="text1"/>
          <w:kern w:val="24"/>
          <w:sz w:val="22"/>
          <w:szCs w:val="22"/>
        </w:rPr>
        <w:t xml:space="preserve">FSANZ has previously evaluated a number of irradiated foods (specifically fruits and vegetables) with respect to the safety of food irradiation in general and specifically the potential hazard of </w:t>
      </w:r>
      <w:proofErr w:type="spellStart"/>
      <w:r w:rsidRPr="009E562D">
        <w:rPr>
          <w:rFonts w:ascii="Arial" w:eastAsiaTheme="minorEastAsia" w:hAnsi="Arial" w:cs="Arial"/>
          <w:color w:val="000000" w:themeColor="text1"/>
          <w:kern w:val="24"/>
          <w:sz w:val="22"/>
          <w:szCs w:val="22"/>
        </w:rPr>
        <w:t>radiolytic</w:t>
      </w:r>
      <w:proofErr w:type="spellEnd"/>
      <w:r w:rsidRPr="009E562D">
        <w:rPr>
          <w:rFonts w:ascii="Arial" w:eastAsiaTheme="minorEastAsia" w:hAnsi="Arial" w:cs="Arial"/>
          <w:color w:val="000000" w:themeColor="text1"/>
          <w:kern w:val="24"/>
          <w:sz w:val="22"/>
          <w:szCs w:val="22"/>
        </w:rPr>
        <w:t xml:space="preserve"> compounds generated by irradiation.</w:t>
      </w:r>
    </w:p>
    <w:p w14:paraId="196F8BF3" w14:textId="77777777" w:rsidR="00B03817" w:rsidRPr="009E562D" w:rsidRDefault="00B03817" w:rsidP="00A22608">
      <w:pPr>
        <w:pStyle w:val="NormalWeb"/>
        <w:spacing w:before="0" w:beforeAutospacing="0" w:after="0" w:afterAutospacing="0"/>
        <w:rPr>
          <w:rFonts w:ascii="Arial" w:eastAsiaTheme="minorEastAsia" w:hAnsi="Arial" w:cs="Arial"/>
          <w:color w:val="000000" w:themeColor="text1"/>
          <w:kern w:val="24"/>
          <w:sz w:val="22"/>
          <w:szCs w:val="22"/>
        </w:rPr>
      </w:pPr>
    </w:p>
    <w:p w14:paraId="5FF37557" w14:textId="77777777" w:rsidR="00A22608" w:rsidRPr="009E562D" w:rsidRDefault="00A22608" w:rsidP="00A22608">
      <w:r w:rsidRPr="009E562D">
        <w:t>The conclusions of these risk assessments are that the formation of these compounds does not pose any public health and safety issues for consumers, including any genotoxic potential or increased risk of carcinogenicity.</w:t>
      </w:r>
    </w:p>
    <w:p w14:paraId="19E97382" w14:textId="76048353" w:rsidR="00B03817" w:rsidRDefault="00B03817" w:rsidP="00A22608"/>
    <w:p w14:paraId="46BA1EB9" w14:textId="77777777" w:rsidR="00AD37FB" w:rsidRDefault="00AD37FB">
      <w:pPr>
        <w:widowControl/>
      </w:pPr>
      <w:r>
        <w:br w:type="page"/>
      </w:r>
    </w:p>
    <w:p w14:paraId="2C010118" w14:textId="728DD891" w:rsidR="00A22608" w:rsidRPr="009E562D" w:rsidRDefault="00A22608" w:rsidP="00A22608">
      <w:r w:rsidRPr="009E562D">
        <w:lastRenderedPageBreak/>
        <w:t xml:space="preserve">For example, in relation to FSANZ’s </w:t>
      </w:r>
      <w:r w:rsidR="007D18FE">
        <w:t xml:space="preserve">recent </w:t>
      </w:r>
      <w:r w:rsidRPr="009E562D">
        <w:t>assessment of an application seeking permission to irradiate blueberries and raspberries</w:t>
      </w:r>
      <w:r w:rsidR="00DF75F9">
        <w:t xml:space="preserve"> (Application A1115)</w:t>
      </w:r>
      <w:r w:rsidRPr="009E562D">
        <w:t xml:space="preserve">, furan has either not been detected, or detected at only low levels in a range of other fruits irradiated at 5 </w:t>
      </w:r>
      <w:proofErr w:type="spellStart"/>
      <w:r w:rsidRPr="009E562D">
        <w:t>kGy</w:t>
      </w:r>
      <w:proofErr w:type="spellEnd"/>
      <w:r w:rsidRPr="009E562D">
        <w:t xml:space="preserve"> (five times higher than the maximum dose sought in this application) and it is likely that furan levels are undetectable in blueberries and raspberries irradiated at doses up to 1 </w:t>
      </w:r>
      <w:proofErr w:type="spellStart"/>
      <w:r w:rsidRPr="009E562D">
        <w:t>kGy</w:t>
      </w:r>
      <w:proofErr w:type="spellEnd"/>
      <w:r w:rsidRPr="009E562D">
        <w:t>. Furan is found in many non-irradiated foods (such as coffee and jarred baby foods) as a processing contaminant.</w:t>
      </w:r>
      <w:r w:rsidR="007D18FE">
        <w:t xml:space="preserve"> </w:t>
      </w:r>
    </w:p>
    <w:p w14:paraId="3D93B868" w14:textId="77777777" w:rsidR="00A22608" w:rsidRPr="009E562D" w:rsidRDefault="00A22608" w:rsidP="00A22608">
      <w:pPr>
        <w:ind w:left="567"/>
        <w:rPr>
          <w:rFonts w:cs="Arial"/>
          <w:i/>
          <w:iCs/>
          <w:szCs w:val="22"/>
        </w:rPr>
      </w:pPr>
    </w:p>
    <w:p w14:paraId="67163A95" w14:textId="500D4B42" w:rsidR="00E074E6" w:rsidRDefault="00A22608" w:rsidP="00A22608">
      <w:pPr>
        <w:rPr>
          <w:rFonts w:cs="Arial"/>
          <w:szCs w:val="22"/>
        </w:rPr>
      </w:pPr>
      <w:r w:rsidRPr="009E562D">
        <w:rPr>
          <w:rFonts w:cs="Arial"/>
          <w:szCs w:val="22"/>
        </w:rPr>
        <w:t xml:space="preserve">Based on the available evidence FSANZ concluded that there </w:t>
      </w:r>
      <w:r w:rsidR="00156C2E">
        <w:rPr>
          <w:rFonts w:cs="Arial"/>
          <w:szCs w:val="22"/>
        </w:rPr>
        <w:t>are</w:t>
      </w:r>
      <w:r w:rsidR="00156C2E" w:rsidRPr="009E562D">
        <w:rPr>
          <w:rFonts w:cs="Arial"/>
          <w:szCs w:val="22"/>
        </w:rPr>
        <w:t xml:space="preserve"> </w:t>
      </w:r>
      <w:r w:rsidRPr="009E562D">
        <w:rPr>
          <w:rFonts w:cs="Arial"/>
          <w:szCs w:val="22"/>
        </w:rPr>
        <w:t xml:space="preserve">no toxicological concerns resulting from the formation of new </w:t>
      </w:r>
      <w:proofErr w:type="spellStart"/>
      <w:r w:rsidRPr="009E562D">
        <w:rPr>
          <w:rFonts w:cs="Arial"/>
          <w:szCs w:val="22"/>
        </w:rPr>
        <w:t>radiolytic</w:t>
      </w:r>
      <w:proofErr w:type="spellEnd"/>
      <w:r w:rsidRPr="009E562D">
        <w:rPr>
          <w:rFonts w:cs="Arial"/>
          <w:szCs w:val="22"/>
        </w:rPr>
        <w:t xml:space="preserve"> products following irradiation. Irradiated food is considered equivalent to non-irradiated food that has been treated with more conventional treatment protocols (e.g. heating for quarantine purposes) with respect to safety, nutritional properties and wholesomeness.</w:t>
      </w:r>
    </w:p>
    <w:p w14:paraId="4FF832BD" w14:textId="21416725" w:rsidR="00A22608" w:rsidRPr="009E562D" w:rsidRDefault="00977F09" w:rsidP="00E074E6">
      <w:pPr>
        <w:pStyle w:val="Heading3"/>
      </w:pPr>
      <w:bookmarkStart w:id="20" w:name="_Toc467141087"/>
      <w:r>
        <w:t>6</w:t>
      </w:r>
      <w:r w:rsidR="00E074E6">
        <w:t>.</w:t>
      </w:r>
      <w:r w:rsidR="00A22608">
        <w:t>3</w:t>
      </w:r>
      <w:r w:rsidR="00A22608">
        <w:tab/>
      </w:r>
      <w:r w:rsidR="00A22608" w:rsidRPr="009E562D">
        <w:t>Nutritional impacts of irradiated foods</w:t>
      </w:r>
      <w:bookmarkEnd w:id="20"/>
      <w:r w:rsidR="00A22608" w:rsidRPr="009E562D">
        <w:t xml:space="preserve"> </w:t>
      </w:r>
    </w:p>
    <w:p w14:paraId="6A635E4D" w14:textId="5DD80E30" w:rsidR="00A22608" w:rsidRPr="009E562D" w:rsidRDefault="00A22608" w:rsidP="00A22608">
      <w:r w:rsidRPr="009E562D">
        <w:t>A relatively small number of nutrients are sensitive to irradiation, with higher doses associated with greater nutritional loss. Nutrient loss can be minimised by the use of appropriate processing techniques, such as low temperatures and oxygen free conditions – but these conditions are not always practicable.</w:t>
      </w:r>
    </w:p>
    <w:p w14:paraId="01258D90" w14:textId="77777777" w:rsidR="00A22608" w:rsidRPr="009E562D" w:rsidRDefault="00A22608" w:rsidP="00A22608"/>
    <w:p w14:paraId="2AEB224E" w14:textId="553FAB16" w:rsidR="00A22608" w:rsidRPr="009E562D" w:rsidRDefault="00A22608" w:rsidP="00A22608">
      <w:r w:rsidRPr="009E562D">
        <w:t xml:space="preserve">There has been no demonstrated effect of irradiation up to 1 </w:t>
      </w:r>
      <w:proofErr w:type="spellStart"/>
      <w:r w:rsidRPr="009E562D">
        <w:t>kGy</w:t>
      </w:r>
      <w:proofErr w:type="spellEnd"/>
      <w:r w:rsidRPr="009E562D">
        <w:t xml:space="preserve"> on the amount and nutritional quality of carbohydrates, proteins or fats and no evidence to suggest, or reason to think, that irradiation reduces the mineral content of food.</w:t>
      </w:r>
      <w:r w:rsidR="00154F4C">
        <w:t xml:space="preserve"> </w:t>
      </w:r>
      <w:r w:rsidRPr="009E562D">
        <w:t xml:space="preserve">There is a general hierarchy of vitamin sensitivity to irradiation, with vitamins A, C, E and thiamine being the most sensitive. </w:t>
      </w:r>
    </w:p>
    <w:p w14:paraId="198FCE26" w14:textId="77777777" w:rsidR="00A22608" w:rsidRPr="009E562D" w:rsidRDefault="00A22608" w:rsidP="00A22608"/>
    <w:p w14:paraId="3CE44A0B" w14:textId="77777777" w:rsidR="00A22608" w:rsidRPr="009E562D" w:rsidRDefault="00A22608" w:rsidP="00A22608">
      <w:r w:rsidRPr="009E562D">
        <w:t xml:space="preserve">As fruits and vegetables are the predominant dietary sources of vitamin A (as carotene) as well as vitamin C, the major studies examining the effects of irradiation on fruit and vegetable quality have focussed on these nutrients. </w:t>
      </w:r>
    </w:p>
    <w:p w14:paraId="1CF9515A" w14:textId="77777777" w:rsidR="00A22608" w:rsidRPr="009E562D" w:rsidRDefault="00A22608" w:rsidP="00A22608"/>
    <w:p w14:paraId="23B2BCDE" w14:textId="5FB3C4C1" w:rsidR="00A22608" w:rsidRPr="009E562D" w:rsidRDefault="00A22608" w:rsidP="00A22608">
      <w:r w:rsidRPr="009E562D">
        <w:t>In 2014</w:t>
      </w:r>
      <w:r w:rsidRPr="009E562D">
        <w:rPr>
          <w:rStyle w:val="FootnoteReference"/>
          <w:rFonts w:eastAsiaTheme="majorEastAsia"/>
        </w:rPr>
        <w:footnoteReference w:id="13"/>
      </w:r>
      <w:r w:rsidRPr="009E562D">
        <w:t xml:space="preserve"> FSANZ published a review of the impact of phytosanitary doses of irradiation on a wide range of fruits and vegetables. This review showed that phytosanitary doses of irradiation had no effect on carotene levels; did not decrease vitamin C in the majority of fruits and vegetables and </w:t>
      </w:r>
      <w:r w:rsidR="00154F4C">
        <w:t xml:space="preserve">had </w:t>
      </w:r>
      <w:r w:rsidRPr="009E562D">
        <w:t xml:space="preserve">little effect on other non-vitamin bioactive compounds. </w:t>
      </w:r>
    </w:p>
    <w:p w14:paraId="1B045BF4" w14:textId="77777777" w:rsidR="00A22608" w:rsidRPr="009E562D" w:rsidRDefault="00A22608" w:rsidP="00A22608"/>
    <w:p w14:paraId="1148682D" w14:textId="40A96D74" w:rsidR="00A22608" w:rsidRPr="009E562D" w:rsidRDefault="00A22608" w:rsidP="00A22608">
      <w:r w:rsidRPr="009E562D">
        <w:t>In some cultivars of some fruits</w:t>
      </w:r>
      <w:r w:rsidR="00154F4C">
        <w:t>,</w:t>
      </w:r>
      <w:r w:rsidRPr="009E562D">
        <w:t xml:space="preserve"> vitamin C levels decreased following irradiation. However, in the majority of these cases the vitamin C content of irradiated fruit remained within the range of natural variation. In addition, when the effects of these changes were </w:t>
      </w:r>
      <w:r w:rsidR="008D0C01">
        <w:t xml:space="preserve">assessed using </w:t>
      </w:r>
      <w:r w:rsidRPr="009E562D">
        <w:t xml:space="preserve">dietary consumption patterns it was evident that these changes were unlikely to impact on dietary vitamin C intakes in Australia and New Zealand. </w:t>
      </w:r>
    </w:p>
    <w:p w14:paraId="5F1DA2F3" w14:textId="72BABE59" w:rsidR="00A22608" w:rsidRPr="009E562D" w:rsidRDefault="00977F09" w:rsidP="00E074E6">
      <w:pPr>
        <w:pStyle w:val="Heading3"/>
      </w:pPr>
      <w:bookmarkStart w:id="21" w:name="_Toc467141088"/>
      <w:r>
        <w:t>6</w:t>
      </w:r>
      <w:r w:rsidR="00E074E6">
        <w:t>.</w:t>
      </w:r>
      <w:r w:rsidR="00A22608">
        <w:t>4</w:t>
      </w:r>
      <w:r w:rsidR="00A22608">
        <w:tab/>
      </w:r>
      <w:r w:rsidR="00A22608" w:rsidRPr="009E562D">
        <w:t>Irradiated cat food</w:t>
      </w:r>
      <w:bookmarkEnd w:id="21"/>
    </w:p>
    <w:p w14:paraId="3E0EDB78" w14:textId="77777777" w:rsidR="00A22608" w:rsidRPr="009E562D" w:rsidRDefault="00A22608" w:rsidP="00A22608">
      <w:pPr>
        <w:pStyle w:val="NormalWeb"/>
        <w:spacing w:before="0" w:beforeAutospacing="0" w:after="0" w:afterAutospacing="0"/>
        <w:rPr>
          <w:rFonts w:ascii="Arial" w:eastAsiaTheme="minorEastAsia" w:hAnsi="Arial" w:cs="Arial"/>
          <w:color w:val="000000" w:themeColor="text1"/>
          <w:kern w:val="24"/>
          <w:sz w:val="22"/>
          <w:szCs w:val="22"/>
        </w:rPr>
      </w:pPr>
      <w:r w:rsidRPr="009E562D">
        <w:rPr>
          <w:rFonts w:ascii="Arial" w:eastAsiaTheme="minorEastAsia" w:hAnsi="Arial" w:cs="Arial"/>
          <w:color w:val="000000" w:themeColor="text1"/>
          <w:kern w:val="24"/>
          <w:sz w:val="22"/>
          <w:szCs w:val="22"/>
        </w:rPr>
        <w:t xml:space="preserve">Whilst all studies have shown the safety of foods for humans when irradiated according to recommended levels, there has been an issue relating to irradiated food and a neurological disorder in cats. </w:t>
      </w:r>
    </w:p>
    <w:p w14:paraId="5B066076" w14:textId="77777777" w:rsidR="00A22608" w:rsidRPr="009E562D" w:rsidRDefault="00A22608" w:rsidP="00A22608">
      <w:pPr>
        <w:pStyle w:val="NormalWeb"/>
        <w:spacing w:before="0" w:beforeAutospacing="0" w:after="0" w:afterAutospacing="0"/>
        <w:rPr>
          <w:rFonts w:ascii="Arial" w:hAnsi="Arial" w:cs="Arial"/>
          <w:sz w:val="22"/>
          <w:szCs w:val="22"/>
        </w:rPr>
      </w:pPr>
    </w:p>
    <w:p w14:paraId="1EAF6EDA" w14:textId="77777777" w:rsidR="00A22608" w:rsidRPr="009E562D" w:rsidRDefault="00A22608" w:rsidP="00A22608">
      <w:pPr>
        <w:pStyle w:val="NormalWeb"/>
        <w:spacing w:before="0" w:beforeAutospacing="0" w:after="0" w:afterAutospacing="0"/>
        <w:rPr>
          <w:rFonts w:ascii="Arial" w:eastAsiaTheme="minorEastAsia" w:hAnsi="Arial" w:cs="Arial"/>
          <w:color w:val="000000" w:themeColor="text1"/>
          <w:kern w:val="24"/>
          <w:sz w:val="22"/>
          <w:szCs w:val="22"/>
        </w:rPr>
      </w:pPr>
      <w:r w:rsidRPr="009E562D">
        <w:rPr>
          <w:rFonts w:ascii="Arial" w:eastAsiaTheme="minorEastAsia" w:hAnsi="Arial" w:cs="Arial"/>
          <w:color w:val="000000" w:themeColor="text1"/>
          <w:kern w:val="24"/>
          <w:sz w:val="22"/>
          <w:szCs w:val="22"/>
        </w:rPr>
        <w:t xml:space="preserve">In 2008-09, there were reports that certain imported pet food products may have been responsible for the death of several cats. A research study has confirmed that irradiated cat food can result in neurological signs (hind limb ataxia) and accompanying histopathological lesions. </w:t>
      </w:r>
    </w:p>
    <w:p w14:paraId="68744F05" w14:textId="0ED4E8A4" w:rsidR="00A22608" w:rsidRPr="009E562D" w:rsidRDefault="00A22608" w:rsidP="00A22608">
      <w:pPr>
        <w:pStyle w:val="NormalWeb"/>
        <w:spacing w:before="0" w:beforeAutospacing="0" w:after="0" w:afterAutospacing="0"/>
        <w:rPr>
          <w:rFonts w:ascii="Arial" w:eastAsiaTheme="minorEastAsia" w:hAnsi="Arial" w:cs="Arial"/>
          <w:color w:val="000000" w:themeColor="text1"/>
          <w:kern w:val="24"/>
          <w:sz w:val="22"/>
          <w:szCs w:val="22"/>
        </w:rPr>
      </w:pPr>
      <w:r w:rsidRPr="009E562D">
        <w:rPr>
          <w:rFonts w:ascii="Arial" w:eastAsiaTheme="minorEastAsia" w:hAnsi="Arial" w:cs="Arial"/>
          <w:color w:val="000000" w:themeColor="text1"/>
          <w:kern w:val="24"/>
          <w:sz w:val="22"/>
          <w:szCs w:val="22"/>
        </w:rPr>
        <w:lastRenderedPageBreak/>
        <w:t>In November 2008 Champion Pet foods announced a voluntary recall of ‘</w:t>
      </w:r>
      <w:proofErr w:type="spellStart"/>
      <w:r w:rsidRPr="009E562D">
        <w:rPr>
          <w:rFonts w:ascii="Arial" w:eastAsiaTheme="minorEastAsia" w:hAnsi="Arial" w:cs="Arial"/>
          <w:color w:val="000000" w:themeColor="text1"/>
          <w:kern w:val="24"/>
          <w:sz w:val="22"/>
          <w:szCs w:val="22"/>
        </w:rPr>
        <w:t>Orijen</w:t>
      </w:r>
      <w:proofErr w:type="spellEnd"/>
      <w:r w:rsidRPr="009E562D">
        <w:rPr>
          <w:rFonts w:ascii="Arial" w:eastAsiaTheme="minorEastAsia" w:hAnsi="Arial" w:cs="Arial"/>
          <w:color w:val="000000" w:themeColor="text1"/>
          <w:kern w:val="24"/>
          <w:sz w:val="22"/>
          <w:szCs w:val="22"/>
        </w:rPr>
        <w:t>’ brand dry cat food sold in Australia. The recall was only for Australia and was issued in response to reports from the Australian veterinary community of a number of cats showing neurological symptoms after consuming the cat food.</w:t>
      </w:r>
    </w:p>
    <w:p w14:paraId="51085FC3" w14:textId="77777777" w:rsidR="00A22608" w:rsidRPr="009E562D" w:rsidRDefault="00A22608" w:rsidP="00A22608">
      <w:pPr>
        <w:pStyle w:val="NormalWeb"/>
        <w:spacing w:before="0" w:beforeAutospacing="0" w:after="0" w:afterAutospacing="0"/>
        <w:rPr>
          <w:rFonts w:ascii="Arial" w:hAnsi="Arial" w:cs="Arial"/>
          <w:sz w:val="22"/>
          <w:szCs w:val="22"/>
        </w:rPr>
      </w:pPr>
    </w:p>
    <w:p w14:paraId="676C3EE6" w14:textId="0171D214" w:rsidR="00A22608" w:rsidRPr="009E562D" w:rsidRDefault="00A22608" w:rsidP="00A22608">
      <w:pPr>
        <w:pStyle w:val="NormalWeb"/>
        <w:spacing w:before="0" w:beforeAutospacing="0" w:after="0" w:afterAutospacing="0"/>
        <w:rPr>
          <w:rFonts w:ascii="Arial" w:hAnsi="Arial" w:cs="Arial"/>
          <w:sz w:val="22"/>
          <w:szCs w:val="22"/>
        </w:rPr>
      </w:pPr>
      <w:r w:rsidRPr="009E562D">
        <w:rPr>
          <w:rFonts w:ascii="Arial" w:eastAsiaTheme="minorEastAsia" w:hAnsi="Arial" w:cs="Arial"/>
          <w:color w:val="000000" w:themeColor="text1"/>
          <w:kern w:val="24"/>
          <w:sz w:val="22"/>
          <w:szCs w:val="22"/>
        </w:rPr>
        <w:t xml:space="preserve">The cats showing disease were from different localities and had a wide age range. There were also substantial variations in the dietary history of the animals. Twenty one cats were </w:t>
      </w:r>
      <w:proofErr w:type="spellStart"/>
      <w:r w:rsidRPr="009E562D">
        <w:rPr>
          <w:rFonts w:ascii="Arial" w:eastAsiaTheme="minorEastAsia" w:hAnsi="Arial" w:cs="Arial"/>
          <w:color w:val="000000" w:themeColor="text1"/>
          <w:kern w:val="24"/>
          <w:sz w:val="22"/>
          <w:szCs w:val="22"/>
        </w:rPr>
        <w:t>euthanased</w:t>
      </w:r>
      <w:proofErr w:type="spellEnd"/>
      <w:r w:rsidRPr="009E562D">
        <w:rPr>
          <w:rFonts w:ascii="Arial" w:eastAsiaTheme="minorEastAsia" w:hAnsi="Arial" w:cs="Arial"/>
          <w:color w:val="000000" w:themeColor="text1"/>
          <w:kern w:val="24"/>
          <w:sz w:val="22"/>
          <w:szCs w:val="22"/>
        </w:rPr>
        <w:t xml:space="preserve"> because of the severity of the disease. After removal of the irradiated diet</w:t>
      </w:r>
      <w:r w:rsidR="00156C2E">
        <w:rPr>
          <w:rFonts w:ascii="Arial" w:eastAsiaTheme="minorEastAsia" w:hAnsi="Arial" w:cs="Arial"/>
          <w:color w:val="000000" w:themeColor="text1"/>
          <w:kern w:val="24"/>
          <w:sz w:val="22"/>
          <w:szCs w:val="22"/>
        </w:rPr>
        <w:t xml:space="preserve">, 22 </w:t>
      </w:r>
      <w:r w:rsidRPr="009E562D">
        <w:rPr>
          <w:rFonts w:ascii="Arial" w:eastAsiaTheme="minorEastAsia" w:hAnsi="Arial" w:cs="Arial"/>
          <w:color w:val="000000" w:themeColor="text1"/>
          <w:kern w:val="24"/>
          <w:sz w:val="22"/>
          <w:szCs w:val="22"/>
        </w:rPr>
        <w:t xml:space="preserve">cats showed clinical improvement and seven recovered completely. </w:t>
      </w:r>
    </w:p>
    <w:p w14:paraId="3EB5DE96" w14:textId="77777777" w:rsidR="00A22608" w:rsidRPr="009E562D" w:rsidRDefault="00A22608" w:rsidP="00A22608">
      <w:pPr>
        <w:rPr>
          <w:rFonts w:cs="Arial"/>
          <w:szCs w:val="22"/>
        </w:rPr>
      </w:pPr>
    </w:p>
    <w:p w14:paraId="622902F2" w14:textId="77777777" w:rsidR="00A22608" w:rsidRPr="009E562D" w:rsidRDefault="00A22608" w:rsidP="00A22608">
      <w:pPr>
        <w:rPr>
          <w:rFonts w:cs="Arial"/>
          <w:szCs w:val="22"/>
        </w:rPr>
      </w:pPr>
      <w:r w:rsidRPr="009E562D">
        <w:rPr>
          <w:rFonts w:cs="Arial"/>
          <w:szCs w:val="22"/>
        </w:rPr>
        <w:t>It is important to note that cats are quite sensitive with respect to a number of nutrients, including vitamin A. Cats are not able to synthesise their own vitamin A from carotene precursors – they require preformed vitamin A in their diet. They also have a high dietary fat requirement and specialised amino acid requirements.</w:t>
      </w:r>
    </w:p>
    <w:p w14:paraId="5A62F1AD" w14:textId="77777777" w:rsidR="00A22608" w:rsidRPr="009E562D" w:rsidRDefault="00A22608" w:rsidP="00A22608">
      <w:pPr>
        <w:rPr>
          <w:rFonts w:cs="Arial"/>
          <w:szCs w:val="22"/>
        </w:rPr>
      </w:pPr>
    </w:p>
    <w:p w14:paraId="20DE6C0A" w14:textId="7C0C8206" w:rsidR="00A22608" w:rsidRPr="009E562D" w:rsidRDefault="00A22608" w:rsidP="00A22608">
      <w:pPr>
        <w:ind w:right="-286"/>
        <w:rPr>
          <w:rFonts w:cs="Arial"/>
          <w:szCs w:val="22"/>
        </w:rPr>
      </w:pPr>
      <w:r w:rsidRPr="009E562D">
        <w:rPr>
          <w:rFonts w:cs="Arial"/>
          <w:szCs w:val="22"/>
        </w:rPr>
        <w:t xml:space="preserve">FSANZ has assessed the study in cats and agrees that there is a body of evidence associating high-dose irradiation of dried pet food and the development of a chronic neurological syndrome in cats. However, the Australian Veterinary Association, Biosecurity Australia and FSANZ believe that this is a cat-specific effect. Pet food is not regulated in the Code. </w:t>
      </w:r>
    </w:p>
    <w:p w14:paraId="4052AEFB" w14:textId="39D1CD93" w:rsidR="00776696" w:rsidRPr="00E074E6" w:rsidRDefault="00977F09" w:rsidP="00E074E6">
      <w:pPr>
        <w:pStyle w:val="Heading3"/>
      </w:pPr>
      <w:bookmarkStart w:id="22" w:name="_Toc440466199"/>
      <w:bookmarkStart w:id="23" w:name="_Toc467141089"/>
      <w:r>
        <w:t>6</w:t>
      </w:r>
      <w:r w:rsidR="00E074E6" w:rsidRPr="00E074E6">
        <w:t>.5</w:t>
      </w:r>
      <w:r w:rsidR="00A22608" w:rsidRPr="00E074E6">
        <w:tab/>
      </w:r>
      <w:r w:rsidR="00776696" w:rsidRPr="00E074E6">
        <w:t>International guidance on the safe use of irradiation</w:t>
      </w:r>
      <w:bookmarkEnd w:id="22"/>
      <w:bookmarkEnd w:id="23"/>
    </w:p>
    <w:p w14:paraId="4052AEFC" w14:textId="4A3AD376" w:rsidR="00776696" w:rsidRDefault="00776696" w:rsidP="00776696">
      <w:pPr>
        <w:rPr>
          <w:rFonts w:eastAsia="Arial Unicode MS"/>
          <w:bCs/>
        </w:rPr>
      </w:pPr>
      <w:r w:rsidRPr="00294025">
        <w:rPr>
          <w:rFonts w:eastAsia="Arial Unicode MS"/>
          <w:bCs/>
          <w:szCs w:val="22"/>
        </w:rPr>
        <w:t>The 1983 Codex standard for irradiated foods (revised 2003)</w:t>
      </w:r>
      <w:r w:rsidR="00505515" w:rsidRPr="00294025">
        <w:rPr>
          <w:rStyle w:val="FootnoteReference"/>
          <w:rFonts w:eastAsia="Arial Unicode MS"/>
          <w:bCs/>
          <w:szCs w:val="22"/>
        </w:rPr>
        <w:footnoteReference w:id="14"/>
      </w:r>
      <w:r w:rsidRPr="00294025">
        <w:rPr>
          <w:rFonts w:eastAsia="Arial Unicode MS"/>
          <w:bCs/>
          <w:szCs w:val="22"/>
        </w:rPr>
        <w:t xml:space="preserve"> requires that</w:t>
      </w:r>
      <w:r w:rsidRPr="00294025">
        <w:rPr>
          <w:rFonts w:eastAsia="Calibri" w:cs="Arial"/>
          <w:szCs w:val="22"/>
        </w:rPr>
        <w:t xml:space="preserve"> </w:t>
      </w:r>
      <w:r w:rsidRPr="00294025">
        <w:rPr>
          <w:rFonts w:eastAsia="Arial Unicode MS"/>
          <w:bCs/>
          <w:szCs w:val="22"/>
        </w:rPr>
        <w:t xml:space="preserve">the maximum absorbed dose </w:t>
      </w:r>
      <w:r>
        <w:rPr>
          <w:rFonts w:eastAsia="Arial Unicode MS"/>
          <w:bCs/>
          <w:szCs w:val="22"/>
        </w:rPr>
        <w:t>for</w:t>
      </w:r>
      <w:r w:rsidRPr="00294025">
        <w:rPr>
          <w:rFonts w:eastAsia="Arial Unicode MS"/>
          <w:bCs/>
          <w:szCs w:val="22"/>
        </w:rPr>
        <w:t xml:space="preserve"> a food should not exceed 10 </w:t>
      </w:r>
      <w:proofErr w:type="spellStart"/>
      <w:r w:rsidRPr="00294025">
        <w:rPr>
          <w:rFonts w:eastAsia="Arial Unicode MS"/>
          <w:bCs/>
          <w:szCs w:val="22"/>
        </w:rPr>
        <w:t>kGy</w:t>
      </w:r>
      <w:proofErr w:type="spellEnd"/>
      <w:r w:rsidRPr="00294025">
        <w:rPr>
          <w:rFonts w:eastAsia="Arial Unicode MS"/>
          <w:bCs/>
          <w:szCs w:val="22"/>
        </w:rPr>
        <w:t>, except when necessary to achieve a legitimate technological purpose</w:t>
      </w:r>
      <w:r w:rsidR="00505515">
        <w:rPr>
          <w:rFonts w:eastAsia="Arial Unicode MS"/>
          <w:bCs/>
          <w:szCs w:val="22"/>
        </w:rPr>
        <w:t>.</w:t>
      </w:r>
      <w:r>
        <w:rPr>
          <w:rFonts w:eastAsia="Arial Unicode MS"/>
          <w:bCs/>
          <w:szCs w:val="22"/>
        </w:rPr>
        <w:t xml:space="preserve"> </w:t>
      </w:r>
      <w:r w:rsidRPr="00294025">
        <w:rPr>
          <w:rFonts w:eastAsia="Arial Unicode MS"/>
          <w:bCs/>
        </w:rPr>
        <w:t>No specific foods are mentioned, although the standard states:</w:t>
      </w:r>
    </w:p>
    <w:p w14:paraId="4052AEFD" w14:textId="77777777" w:rsidR="00776696" w:rsidRDefault="00776696" w:rsidP="00776696">
      <w:pPr>
        <w:rPr>
          <w:rFonts w:eastAsia="Arial Unicode MS"/>
          <w:bCs/>
        </w:rPr>
      </w:pPr>
    </w:p>
    <w:p w14:paraId="4052AEFE" w14:textId="77777777" w:rsidR="00776696" w:rsidRPr="00294025" w:rsidRDefault="00776696" w:rsidP="00156C2E">
      <w:pPr>
        <w:pStyle w:val="FSBullet1"/>
        <w:numPr>
          <w:ilvl w:val="0"/>
          <w:numId w:val="0"/>
        </w:numPr>
        <w:ind w:left="567"/>
        <w:rPr>
          <w:rFonts w:eastAsia="Arial Unicode MS"/>
          <w:i/>
        </w:rPr>
      </w:pPr>
      <w:r w:rsidRPr="00294025">
        <w:rPr>
          <w:rFonts w:eastAsia="Arial Unicode MS"/>
          <w:i/>
        </w:rPr>
        <w:t>The irradiation of food is justified only where it fulfils a technological need or where it serves a food hygiene purpose and should not be used as a substitute for good manufacturing practices.</w:t>
      </w:r>
    </w:p>
    <w:p w14:paraId="44FFD156" w14:textId="77777777" w:rsidR="00E0448E" w:rsidRDefault="00E0448E" w:rsidP="00776696"/>
    <w:p w14:paraId="4052AF00" w14:textId="250E96D4" w:rsidR="00776696" w:rsidRPr="00294025" w:rsidRDefault="00776696" w:rsidP="00776696">
      <w:r w:rsidRPr="00294025">
        <w:t>International Standards for Phytosanitary Measures 18 (</w:t>
      </w:r>
      <w:r w:rsidRPr="00294025">
        <w:rPr>
          <w:i/>
          <w:iCs/>
        </w:rPr>
        <w:t>ISPM No. 18</w:t>
      </w:r>
      <w:r w:rsidRPr="00294025">
        <w:t xml:space="preserve">) – </w:t>
      </w:r>
      <w:r w:rsidRPr="00294025">
        <w:rPr>
          <w:i/>
          <w:iCs/>
        </w:rPr>
        <w:t>Guidelines for the Use of Irradiation as a Phytosanitary Measure</w:t>
      </w:r>
      <w:r w:rsidRPr="00294025">
        <w:t>, International Plant Protection Convention, 2003 (ISPM, 2003) provides technical guidance on the specific procedures for the application of ionising radiation as a phytosanitary treatment for pests or articles.</w:t>
      </w:r>
    </w:p>
    <w:p w14:paraId="4052AF01" w14:textId="77777777" w:rsidR="00776696" w:rsidRPr="00294025" w:rsidRDefault="00776696" w:rsidP="00776696"/>
    <w:p w14:paraId="3BBCFA8A" w14:textId="325C18BF" w:rsidR="00E0448E" w:rsidRDefault="00776696" w:rsidP="00776696">
      <w:pPr>
        <w:ind w:right="-286"/>
        <w:rPr>
          <w:rFonts w:cs="Arial"/>
        </w:rPr>
      </w:pPr>
      <w:r w:rsidRPr="00294025">
        <w:rPr>
          <w:rFonts w:cs="Arial"/>
        </w:rPr>
        <w:t xml:space="preserve">The American Society for Testing and Materials, </w:t>
      </w:r>
      <w:r w:rsidRPr="00294025">
        <w:rPr>
          <w:rFonts w:cs="Arial"/>
          <w:i/>
          <w:iCs/>
        </w:rPr>
        <w:t>ASTM F1355</w:t>
      </w:r>
      <w:r w:rsidRPr="00294025">
        <w:t>-</w:t>
      </w:r>
      <w:r w:rsidRPr="00294025">
        <w:rPr>
          <w:rFonts w:cs="Arial"/>
          <w:i/>
          <w:iCs/>
        </w:rPr>
        <w:t xml:space="preserve">06 Standard Guide for Irradiation of Fresh Agricultural Produce as a Phytosanitary Treatment </w:t>
      </w:r>
      <w:r w:rsidRPr="00294025">
        <w:rPr>
          <w:rFonts w:cs="Arial"/>
        </w:rPr>
        <w:t>(ASTM, 2006)</w:t>
      </w:r>
      <w:r>
        <w:rPr>
          <w:rFonts w:cs="Arial"/>
        </w:rPr>
        <w:t>,</w:t>
      </w:r>
      <w:r w:rsidRPr="00294025">
        <w:rPr>
          <w:rFonts w:cs="Arial"/>
        </w:rPr>
        <w:t xml:space="preserve"> also provides for procedures for the radiation disinfestation of fresh fruits as a quarantine treatment.</w:t>
      </w:r>
    </w:p>
    <w:p w14:paraId="424A0217" w14:textId="3EAB4C59" w:rsidR="00E074E6" w:rsidRDefault="00E074E6" w:rsidP="00776696">
      <w:pPr>
        <w:ind w:right="-286"/>
        <w:rPr>
          <w:rFonts w:cs="Arial"/>
        </w:rPr>
      </w:pPr>
    </w:p>
    <w:p w14:paraId="4052AF13" w14:textId="05984169" w:rsidR="00776696" w:rsidRDefault="00776696" w:rsidP="00776696">
      <w:pPr>
        <w:rPr>
          <w:rFonts w:cs="Arial"/>
          <w:szCs w:val="22"/>
          <w:lang w:val="en-AU" w:eastAsia="en-AU" w:bidi="ar-SA"/>
        </w:rPr>
      </w:pPr>
      <w:r>
        <w:rPr>
          <w:rFonts w:cs="Arial"/>
          <w:szCs w:val="22"/>
          <w:lang w:val="en-AU" w:eastAsia="en-AU" w:bidi="ar-SA"/>
        </w:rPr>
        <w:t xml:space="preserve">Further, fruit fly is not established in New Zealand and growers rely on other post-harvest disinfestation options to control other regulated insect pests. FSANZ understands that New Zealand currently has no interest in using irradiation as a treatment, but </w:t>
      </w:r>
      <w:r w:rsidR="00F542C4">
        <w:rPr>
          <w:rFonts w:cs="Arial"/>
          <w:szCs w:val="22"/>
          <w:lang w:val="en-AU" w:eastAsia="en-AU" w:bidi="ar-SA"/>
        </w:rPr>
        <w:t xml:space="preserve">may </w:t>
      </w:r>
      <w:r>
        <w:rPr>
          <w:rFonts w:cs="Arial"/>
          <w:szCs w:val="22"/>
          <w:lang w:val="en-AU" w:eastAsia="en-AU" w:bidi="ar-SA"/>
        </w:rPr>
        <w:t xml:space="preserve">consider it if conditions changed (e.g. if fruit fly became </w:t>
      </w:r>
      <w:r w:rsidRPr="00C123E4">
        <w:rPr>
          <w:rFonts w:cs="Arial"/>
          <w:szCs w:val="22"/>
          <w:lang w:val="en-AU" w:eastAsia="en-AU" w:bidi="ar-SA"/>
        </w:rPr>
        <w:t>established and there were no other appropriate treatment options).</w:t>
      </w:r>
    </w:p>
    <w:p w14:paraId="5285C202" w14:textId="19B56B41" w:rsidR="00E074E6" w:rsidRDefault="00E074E6" w:rsidP="00776696">
      <w:pPr>
        <w:rPr>
          <w:rFonts w:cs="Arial"/>
          <w:szCs w:val="22"/>
          <w:lang w:val="en-AU" w:eastAsia="en-AU" w:bidi="ar-SA"/>
        </w:rPr>
      </w:pPr>
    </w:p>
    <w:p w14:paraId="4D50CDBD" w14:textId="77777777" w:rsidR="00156C2E" w:rsidRDefault="00156C2E" w:rsidP="00776696">
      <w:pPr>
        <w:widowControl/>
        <w:rPr>
          <w:rFonts w:cs="Arial"/>
          <w:szCs w:val="22"/>
          <w:lang w:val="en-AU" w:eastAsia="en-AU" w:bidi="ar-SA"/>
        </w:rPr>
      </w:pPr>
      <w:r>
        <w:rPr>
          <w:rFonts w:cs="Arial"/>
          <w:szCs w:val="22"/>
          <w:lang w:val="en-AU" w:eastAsia="en-AU" w:bidi="ar-SA"/>
        </w:rPr>
        <w:br w:type="page"/>
      </w:r>
    </w:p>
    <w:p w14:paraId="4052AF6A" w14:textId="25DD40AA" w:rsidR="00776696" w:rsidRPr="00C65FDB" w:rsidRDefault="007006F6" w:rsidP="00E636CA">
      <w:pPr>
        <w:pStyle w:val="Heading2"/>
      </w:pPr>
      <w:bookmarkStart w:id="24" w:name="_Toc467141090"/>
      <w:r>
        <w:lastRenderedPageBreak/>
        <w:t>7</w:t>
      </w:r>
      <w:r>
        <w:tab/>
      </w:r>
      <w:r w:rsidR="00776696" w:rsidRPr="00C65FDB">
        <w:t>References</w:t>
      </w:r>
      <w:bookmarkEnd w:id="24"/>
    </w:p>
    <w:p w14:paraId="1BE0819D" w14:textId="0E47D0E6" w:rsidR="004D38DF" w:rsidRDefault="004D38DF" w:rsidP="00776696">
      <w:pPr>
        <w:widowControl/>
        <w:autoSpaceDE w:val="0"/>
        <w:autoSpaceDN w:val="0"/>
        <w:adjustRightInd w:val="0"/>
        <w:spacing w:after="160" w:line="276" w:lineRule="auto"/>
        <w:rPr>
          <w:rFonts w:cs="Arial"/>
          <w:sz w:val="20"/>
          <w:szCs w:val="22"/>
          <w:lang w:bidi="ar-SA"/>
        </w:rPr>
      </w:pPr>
      <w:proofErr w:type="spellStart"/>
      <w:r>
        <w:rPr>
          <w:rFonts w:cs="Arial"/>
          <w:sz w:val="20"/>
          <w:szCs w:val="22"/>
          <w:lang w:bidi="ar-SA"/>
        </w:rPr>
        <w:t>Arvantitoyannis</w:t>
      </w:r>
      <w:proofErr w:type="spellEnd"/>
      <w:r>
        <w:rPr>
          <w:rFonts w:cs="Arial"/>
          <w:sz w:val="20"/>
          <w:szCs w:val="22"/>
          <w:lang w:bidi="ar-SA"/>
        </w:rPr>
        <w:t xml:space="preserve"> IS (2010) Irradiation of Food Commodities: Techniques, Applications, Detection, Legislation, Safety and Consumer Opinion. </w:t>
      </w:r>
      <w:r w:rsidR="00C544DC" w:rsidRPr="004C25C0">
        <w:rPr>
          <w:rFonts w:cs="Arial"/>
          <w:sz w:val="20"/>
          <w:szCs w:val="20"/>
        </w:rPr>
        <w:t>First edition 2010 Elsevier Inc.</w:t>
      </w:r>
    </w:p>
    <w:p w14:paraId="33AA0431" w14:textId="7425CD9C" w:rsidR="00EA005F" w:rsidRDefault="00776696" w:rsidP="00776696">
      <w:pPr>
        <w:widowControl/>
        <w:autoSpaceDE w:val="0"/>
        <w:autoSpaceDN w:val="0"/>
        <w:adjustRightInd w:val="0"/>
        <w:spacing w:after="160" w:line="276" w:lineRule="auto"/>
        <w:rPr>
          <w:rFonts w:cs="Arial"/>
          <w:sz w:val="20"/>
          <w:szCs w:val="22"/>
          <w:lang w:bidi="ar-SA"/>
        </w:rPr>
      </w:pPr>
      <w:proofErr w:type="gramStart"/>
      <w:r w:rsidRPr="0013229F">
        <w:rPr>
          <w:rFonts w:cs="Arial"/>
          <w:sz w:val="20"/>
          <w:szCs w:val="22"/>
          <w:lang w:bidi="ar-SA"/>
        </w:rPr>
        <w:t>ASTM (2006) ASTM International ASTM F1355 – 06 (2006).</w:t>
      </w:r>
      <w:proofErr w:type="gramEnd"/>
      <w:r w:rsidRPr="0013229F">
        <w:rPr>
          <w:rFonts w:cs="Arial"/>
          <w:sz w:val="20"/>
          <w:szCs w:val="22"/>
          <w:lang w:bidi="ar-SA"/>
        </w:rPr>
        <w:t xml:space="preserve"> </w:t>
      </w:r>
      <w:proofErr w:type="gramStart"/>
      <w:r w:rsidRPr="0013229F">
        <w:rPr>
          <w:rFonts w:cs="Arial"/>
          <w:sz w:val="20"/>
          <w:szCs w:val="22"/>
          <w:lang w:bidi="ar-SA"/>
        </w:rPr>
        <w:t>Standard Guide for Irradiation of Fresh Agricultural Produce as a Phytosanitary Treatment, ASTM International, West Conshohocken, PA, USA.</w:t>
      </w:r>
      <w:proofErr w:type="gramEnd"/>
      <w:r w:rsidRPr="0013229F">
        <w:rPr>
          <w:rFonts w:cs="Arial"/>
          <w:sz w:val="20"/>
          <w:szCs w:val="22"/>
          <w:lang w:bidi="ar-SA"/>
        </w:rPr>
        <w:t xml:space="preserve"> DOI: 10.1520/F1355</w:t>
      </w:r>
      <w:r w:rsidRPr="0013229F">
        <w:rPr>
          <w:rFonts w:ascii="Cambria Math" w:hAnsi="Cambria Math" w:cs="Cambria Math"/>
          <w:sz w:val="20"/>
          <w:szCs w:val="22"/>
          <w:lang w:bidi="ar-SA"/>
        </w:rPr>
        <w:t>‐</w:t>
      </w:r>
      <w:r w:rsidRPr="0013229F">
        <w:rPr>
          <w:rFonts w:cs="Arial"/>
          <w:sz w:val="20"/>
          <w:szCs w:val="22"/>
          <w:lang w:bidi="ar-SA"/>
        </w:rPr>
        <w:t xml:space="preserve">06. </w:t>
      </w:r>
      <w:hyperlink r:id="rId22" w:history="1">
        <w:r w:rsidR="00EA005F" w:rsidRPr="00455215">
          <w:rPr>
            <w:rStyle w:val="Hyperlink"/>
            <w:rFonts w:cs="Arial"/>
            <w:sz w:val="20"/>
            <w:szCs w:val="22"/>
            <w:lang w:bidi="ar-SA"/>
          </w:rPr>
          <w:t>http://www.astm.org/Standards/F1355.htm</w:t>
        </w:r>
      </w:hyperlink>
      <w:r w:rsidR="00EA005F" w:rsidRPr="00EA005F">
        <w:rPr>
          <w:rFonts w:cs="Arial"/>
          <w:color w:val="0000FF"/>
          <w:sz w:val="20"/>
          <w:szCs w:val="22"/>
          <w:lang w:bidi="ar-SA"/>
        </w:rPr>
        <w:t xml:space="preserve"> </w:t>
      </w:r>
      <w:r w:rsidR="00EA005F" w:rsidRPr="00EA005F">
        <w:rPr>
          <w:rFonts w:cs="Arial"/>
          <w:sz w:val="20"/>
          <w:szCs w:val="22"/>
          <w:lang w:bidi="ar-SA"/>
        </w:rPr>
        <w:t>Accessed September 2016</w:t>
      </w:r>
    </w:p>
    <w:p w14:paraId="4052AF6D" w14:textId="4E8DD50B" w:rsidR="00776696" w:rsidRPr="0013229F" w:rsidRDefault="00776696" w:rsidP="00776696">
      <w:pPr>
        <w:widowControl/>
        <w:autoSpaceDE w:val="0"/>
        <w:autoSpaceDN w:val="0"/>
        <w:adjustRightInd w:val="0"/>
        <w:spacing w:after="160" w:line="276" w:lineRule="auto"/>
        <w:rPr>
          <w:rFonts w:cs="Arial"/>
          <w:sz w:val="20"/>
          <w:szCs w:val="22"/>
          <w:lang w:bidi="ar-SA"/>
        </w:rPr>
      </w:pPr>
      <w:proofErr w:type="gramStart"/>
      <w:r w:rsidRPr="0013229F">
        <w:rPr>
          <w:rFonts w:cs="Arial"/>
          <w:sz w:val="20"/>
          <w:szCs w:val="22"/>
          <w:lang w:bidi="ar-SA"/>
        </w:rPr>
        <w:t xml:space="preserve">CAC (2003) Codex </w:t>
      </w:r>
      <w:proofErr w:type="spellStart"/>
      <w:r w:rsidRPr="0013229F">
        <w:rPr>
          <w:rFonts w:cs="Arial"/>
          <w:sz w:val="20"/>
          <w:szCs w:val="22"/>
          <w:lang w:bidi="ar-SA"/>
        </w:rPr>
        <w:t>Alimentarius</w:t>
      </w:r>
      <w:proofErr w:type="spellEnd"/>
      <w:r w:rsidRPr="0013229F">
        <w:rPr>
          <w:rFonts w:cs="Arial"/>
          <w:sz w:val="20"/>
          <w:szCs w:val="22"/>
          <w:lang w:bidi="ar-SA"/>
        </w:rPr>
        <w:t xml:space="preserve"> Commission.</w:t>
      </w:r>
      <w:proofErr w:type="gramEnd"/>
      <w:r w:rsidRPr="0013229F">
        <w:rPr>
          <w:rFonts w:cs="Arial"/>
          <w:sz w:val="20"/>
          <w:szCs w:val="22"/>
          <w:lang w:bidi="ar-SA"/>
        </w:rPr>
        <w:t xml:space="preserve"> Code of Practice for Radiation Processing of Food (CAC/RCP 19</w:t>
      </w:r>
      <w:r w:rsidRPr="0013229F">
        <w:rPr>
          <w:rFonts w:ascii="Cambria Math" w:hAnsi="Cambria Math" w:cs="Cambria Math"/>
          <w:sz w:val="20"/>
          <w:szCs w:val="22"/>
          <w:lang w:bidi="ar-SA"/>
        </w:rPr>
        <w:t>‐</w:t>
      </w:r>
      <w:r w:rsidRPr="0013229F">
        <w:rPr>
          <w:rFonts w:cs="Arial"/>
          <w:sz w:val="20"/>
          <w:szCs w:val="22"/>
          <w:lang w:bidi="ar-SA"/>
        </w:rPr>
        <w:t xml:space="preserve">1979 (Rev. 2–2003), Codex </w:t>
      </w:r>
      <w:proofErr w:type="spellStart"/>
      <w:r w:rsidRPr="0013229F">
        <w:rPr>
          <w:rFonts w:cs="Arial"/>
          <w:sz w:val="20"/>
          <w:szCs w:val="22"/>
          <w:lang w:bidi="ar-SA"/>
        </w:rPr>
        <w:t>Alimentarius</w:t>
      </w:r>
      <w:proofErr w:type="spellEnd"/>
      <w:r w:rsidRPr="0013229F">
        <w:rPr>
          <w:rFonts w:cs="Arial"/>
          <w:sz w:val="20"/>
          <w:szCs w:val="22"/>
          <w:lang w:bidi="ar-SA"/>
        </w:rPr>
        <w:t xml:space="preserve">, FAO/WHO, Rome. </w:t>
      </w:r>
      <w:hyperlink r:id="rId23" w:history="1">
        <w:r w:rsidRPr="0013229F">
          <w:rPr>
            <w:rFonts w:cs="Arial"/>
            <w:color w:val="0000FF"/>
            <w:sz w:val="20"/>
            <w:szCs w:val="22"/>
            <w:u w:val="single"/>
            <w:lang w:bidi="ar-SA"/>
          </w:rPr>
          <w:t>http://www.codexalimentarius.net/download/standards/18/CXP_019e.pdf</w:t>
        </w:r>
      </w:hyperlink>
      <w:r w:rsidRPr="0013229F">
        <w:rPr>
          <w:rFonts w:cs="Arial"/>
          <w:sz w:val="20"/>
          <w:szCs w:val="22"/>
          <w:lang w:bidi="ar-SA"/>
        </w:rPr>
        <w:t xml:space="preserve"> Accessed </w:t>
      </w:r>
      <w:r w:rsidR="00EA005F" w:rsidRPr="00EA005F">
        <w:rPr>
          <w:rFonts w:cs="Arial"/>
          <w:sz w:val="20"/>
          <w:szCs w:val="22"/>
          <w:lang w:bidi="ar-SA"/>
        </w:rPr>
        <w:t>September 2016</w:t>
      </w:r>
    </w:p>
    <w:p w14:paraId="14D4EBF0" w14:textId="6B932965" w:rsidR="0068536E" w:rsidRDefault="004B0080" w:rsidP="00776696">
      <w:pPr>
        <w:rPr>
          <w:rFonts w:cs="Arial"/>
          <w:sz w:val="20"/>
          <w:szCs w:val="22"/>
          <w:lang w:bidi="ar-SA"/>
        </w:rPr>
      </w:pPr>
      <w:proofErr w:type="gramStart"/>
      <w:r w:rsidRPr="004B0080">
        <w:rPr>
          <w:rFonts w:cs="Arial"/>
          <w:sz w:val="20"/>
          <w:szCs w:val="22"/>
          <w:lang w:bidi="ar-SA"/>
        </w:rPr>
        <w:t>Department of Employment, Economic D</w:t>
      </w:r>
      <w:r>
        <w:rPr>
          <w:rFonts w:cs="Arial"/>
          <w:sz w:val="20"/>
          <w:szCs w:val="22"/>
          <w:lang w:bidi="ar-SA"/>
        </w:rPr>
        <w:t>evelopment and Innovation</w:t>
      </w:r>
      <w:r w:rsidR="00C544DC">
        <w:rPr>
          <w:rFonts w:cs="Arial"/>
          <w:sz w:val="20"/>
          <w:szCs w:val="22"/>
          <w:lang w:bidi="ar-SA"/>
        </w:rPr>
        <w:t xml:space="preserve"> (2011)</w:t>
      </w:r>
      <w:r>
        <w:rPr>
          <w:rFonts w:cs="Arial"/>
          <w:sz w:val="20"/>
          <w:szCs w:val="22"/>
          <w:lang w:bidi="ar-SA"/>
        </w:rPr>
        <w:t xml:space="preserve"> Interstate Certification Assurance.</w:t>
      </w:r>
      <w:proofErr w:type="gramEnd"/>
      <w:r>
        <w:rPr>
          <w:rFonts w:cs="Arial"/>
          <w:sz w:val="20"/>
          <w:szCs w:val="22"/>
          <w:lang w:bidi="ar-SA"/>
        </w:rPr>
        <w:t xml:space="preserve"> </w:t>
      </w:r>
      <w:proofErr w:type="gramStart"/>
      <w:r w:rsidR="00EA005F">
        <w:rPr>
          <w:rFonts w:cs="Arial"/>
          <w:sz w:val="20"/>
          <w:szCs w:val="22"/>
          <w:lang w:bidi="ar-SA"/>
        </w:rPr>
        <w:t>ICA-55.</w:t>
      </w:r>
      <w:proofErr w:type="gramEnd"/>
      <w:r w:rsidR="00EA005F">
        <w:rPr>
          <w:rFonts w:cs="Arial"/>
          <w:sz w:val="20"/>
          <w:szCs w:val="22"/>
          <w:lang w:bidi="ar-SA"/>
        </w:rPr>
        <w:t xml:space="preserve"> </w:t>
      </w:r>
      <w:proofErr w:type="gramStart"/>
      <w:r w:rsidR="00EA005F">
        <w:rPr>
          <w:rFonts w:cs="Arial"/>
          <w:sz w:val="20"/>
          <w:szCs w:val="22"/>
          <w:lang w:bidi="ar-SA"/>
        </w:rPr>
        <w:t>Queensland Government.</w:t>
      </w:r>
      <w:proofErr w:type="gramEnd"/>
      <w:r w:rsidR="00EA005F">
        <w:rPr>
          <w:rFonts w:cs="Arial"/>
          <w:sz w:val="20"/>
          <w:szCs w:val="22"/>
          <w:lang w:bidi="ar-SA"/>
        </w:rPr>
        <w:t xml:space="preserve"> </w:t>
      </w:r>
      <w:r>
        <w:rPr>
          <w:rFonts w:cs="Arial"/>
          <w:sz w:val="20"/>
          <w:szCs w:val="22"/>
          <w:lang w:bidi="ar-SA"/>
        </w:rPr>
        <w:t xml:space="preserve"> </w:t>
      </w:r>
      <w:r w:rsidR="0068536E">
        <w:rPr>
          <w:rFonts w:cs="Arial"/>
          <w:sz w:val="20"/>
          <w:szCs w:val="22"/>
          <w:lang w:bidi="ar-SA"/>
        </w:rPr>
        <w:t xml:space="preserve"> </w:t>
      </w:r>
      <w:hyperlink r:id="rId24" w:history="1">
        <w:r w:rsidR="0068536E" w:rsidRPr="00455215">
          <w:rPr>
            <w:rStyle w:val="Hyperlink"/>
            <w:rFonts w:cs="Arial"/>
            <w:sz w:val="20"/>
            <w:szCs w:val="22"/>
            <w:lang w:bidi="ar-SA"/>
          </w:rPr>
          <w:t>https://www.daf.qld.gov.au/__data/assets/pdf_file/0008/69578/ICA-55.pdf</w:t>
        </w:r>
      </w:hyperlink>
      <w:r w:rsidR="0068536E">
        <w:rPr>
          <w:rFonts w:cs="Arial"/>
          <w:sz w:val="20"/>
          <w:szCs w:val="22"/>
          <w:lang w:bidi="ar-SA"/>
        </w:rPr>
        <w:t xml:space="preserve"> </w:t>
      </w:r>
      <w:r w:rsidR="00EA005F">
        <w:rPr>
          <w:rFonts w:cs="Arial"/>
          <w:sz w:val="20"/>
          <w:szCs w:val="22"/>
          <w:lang w:bidi="ar-SA"/>
        </w:rPr>
        <w:t xml:space="preserve"> Accessed November 2016</w:t>
      </w:r>
    </w:p>
    <w:p w14:paraId="69FC1360" w14:textId="77777777" w:rsidR="0068536E" w:rsidRDefault="0068536E" w:rsidP="00776696">
      <w:pPr>
        <w:rPr>
          <w:rFonts w:cs="Arial"/>
          <w:sz w:val="20"/>
          <w:szCs w:val="22"/>
          <w:lang w:bidi="ar-SA"/>
        </w:rPr>
      </w:pPr>
    </w:p>
    <w:p w14:paraId="3580697D" w14:textId="1F87F77A" w:rsidR="00CA330C" w:rsidRPr="00702D6A" w:rsidRDefault="00CA330C" w:rsidP="00CA330C">
      <w:pPr>
        <w:rPr>
          <w:rFonts w:cs="Arial"/>
          <w:sz w:val="20"/>
          <w:szCs w:val="20"/>
          <w:lang w:bidi="ar-SA"/>
        </w:rPr>
      </w:pPr>
      <w:r>
        <w:rPr>
          <w:rFonts w:cs="Arial"/>
          <w:sz w:val="20"/>
          <w:szCs w:val="20"/>
          <w:lang w:bidi="ar-SA"/>
        </w:rPr>
        <w:t xml:space="preserve">Department of Health and Ageing (2011) </w:t>
      </w:r>
      <w:r w:rsidRPr="00702D6A">
        <w:rPr>
          <w:rFonts w:cs="Arial"/>
          <w:sz w:val="20"/>
          <w:szCs w:val="20"/>
          <w:lang w:bidi="ar-SA"/>
        </w:rPr>
        <w:t xml:space="preserve">Response to the Recommendations of </w:t>
      </w:r>
    </w:p>
    <w:p w14:paraId="1A5BA20D" w14:textId="77777777" w:rsidR="00CA330C" w:rsidRDefault="00CA330C" w:rsidP="00CA330C">
      <w:pPr>
        <w:rPr>
          <w:rFonts w:cs="Arial"/>
          <w:sz w:val="20"/>
          <w:szCs w:val="20"/>
          <w:lang w:bidi="ar-SA"/>
        </w:rPr>
      </w:pPr>
      <w:proofErr w:type="gramStart"/>
      <w:r w:rsidRPr="00702D6A">
        <w:rPr>
          <w:rFonts w:cs="Arial"/>
          <w:sz w:val="20"/>
          <w:szCs w:val="20"/>
          <w:lang w:bidi="ar-SA"/>
        </w:rPr>
        <w:t>Labelling Logic: Review of Food Labelling Law and Policy (2011)</w:t>
      </w:r>
      <w:r>
        <w:rPr>
          <w:rFonts w:cs="Arial"/>
          <w:sz w:val="20"/>
          <w:szCs w:val="20"/>
          <w:lang w:bidi="ar-SA"/>
        </w:rPr>
        <w:t>.</w:t>
      </w:r>
      <w:proofErr w:type="gramEnd"/>
      <w:r>
        <w:rPr>
          <w:rFonts w:cs="Arial"/>
          <w:sz w:val="20"/>
          <w:szCs w:val="20"/>
          <w:lang w:bidi="ar-SA"/>
        </w:rPr>
        <w:t xml:space="preserve"> </w:t>
      </w:r>
      <w:proofErr w:type="gramStart"/>
      <w:r w:rsidRPr="00702D6A">
        <w:rPr>
          <w:rFonts w:cs="Arial"/>
          <w:sz w:val="20"/>
          <w:szCs w:val="20"/>
          <w:lang w:bidi="ar-SA"/>
        </w:rPr>
        <w:t>Legislative and Governance Forum on Food Regulation (convening as the Australia and New Zealand Food Regulation Ministerial Council)</w:t>
      </w:r>
      <w:r>
        <w:rPr>
          <w:rFonts w:cs="Arial"/>
          <w:sz w:val="20"/>
          <w:szCs w:val="20"/>
          <w:lang w:bidi="ar-SA"/>
        </w:rPr>
        <w:t>.</w:t>
      </w:r>
      <w:proofErr w:type="gramEnd"/>
      <w:r>
        <w:rPr>
          <w:rFonts w:cs="Arial"/>
          <w:sz w:val="20"/>
          <w:szCs w:val="20"/>
          <w:lang w:bidi="ar-SA"/>
        </w:rPr>
        <w:t xml:space="preserve"> Department of Health Commonwealth of Australia</w:t>
      </w:r>
    </w:p>
    <w:p w14:paraId="486484B2" w14:textId="11CDB167" w:rsidR="00CA330C" w:rsidRPr="00702D6A" w:rsidRDefault="001F5681" w:rsidP="00CA330C">
      <w:pPr>
        <w:rPr>
          <w:rFonts w:cs="Arial"/>
          <w:sz w:val="20"/>
          <w:szCs w:val="20"/>
          <w:lang w:bidi="ar-SA"/>
        </w:rPr>
      </w:pPr>
      <w:hyperlink r:id="rId25" w:history="1">
        <w:r w:rsidR="00CA330C" w:rsidRPr="00450941">
          <w:rPr>
            <w:rStyle w:val="Hyperlink"/>
            <w:rFonts w:cs="Arial"/>
            <w:sz w:val="20"/>
            <w:szCs w:val="20"/>
            <w:lang w:bidi="ar-SA"/>
          </w:rPr>
          <w:t>http://www.foodlabellingreview.gov.au/internet/foodlabelling/publishing.nsf/Content/home</w:t>
        </w:r>
      </w:hyperlink>
      <w:r w:rsidR="00CA330C">
        <w:rPr>
          <w:rFonts w:cs="Arial"/>
          <w:sz w:val="20"/>
          <w:szCs w:val="20"/>
          <w:lang w:bidi="ar-SA"/>
        </w:rPr>
        <w:t xml:space="preserve">  Accessed September 2016</w:t>
      </w:r>
    </w:p>
    <w:p w14:paraId="3E69A5ED" w14:textId="77777777" w:rsidR="00CA330C" w:rsidRDefault="00CA330C" w:rsidP="00E074E6">
      <w:pPr>
        <w:rPr>
          <w:rFonts w:cs="Arial"/>
          <w:sz w:val="20"/>
          <w:szCs w:val="22"/>
          <w:lang w:bidi="ar-SA"/>
        </w:rPr>
      </w:pPr>
    </w:p>
    <w:p w14:paraId="275F3081" w14:textId="74577EC7" w:rsidR="004D38DF" w:rsidRDefault="004D38DF" w:rsidP="00E074E6">
      <w:pPr>
        <w:rPr>
          <w:rFonts w:cs="Arial"/>
          <w:sz w:val="20"/>
          <w:szCs w:val="22"/>
          <w:lang w:bidi="ar-SA"/>
        </w:rPr>
      </w:pPr>
      <w:r>
        <w:rPr>
          <w:rFonts w:cs="Arial"/>
          <w:sz w:val="20"/>
          <w:szCs w:val="22"/>
          <w:lang w:bidi="ar-SA"/>
        </w:rPr>
        <w:t xml:space="preserve">Follett PA and </w:t>
      </w:r>
      <w:proofErr w:type="spellStart"/>
      <w:r>
        <w:rPr>
          <w:rFonts w:cs="Arial"/>
          <w:sz w:val="20"/>
          <w:szCs w:val="22"/>
          <w:lang w:bidi="ar-SA"/>
        </w:rPr>
        <w:t>Weinart</w:t>
      </w:r>
      <w:proofErr w:type="spellEnd"/>
      <w:r>
        <w:rPr>
          <w:rFonts w:cs="Arial"/>
          <w:sz w:val="20"/>
          <w:szCs w:val="22"/>
          <w:lang w:bidi="ar-SA"/>
        </w:rPr>
        <w:t xml:space="preserve"> ED (2012) Phytosanitary irradiation of fresh tropical commodities in Hawaii: Generic treatments, commercial adoption and current issues. </w:t>
      </w:r>
      <w:proofErr w:type="gramStart"/>
      <w:r>
        <w:rPr>
          <w:rFonts w:cs="Arial"/>
          <w:sz w:val="20"/>
          <w:szCs w:val="22"/>
          <w:lang w:bidi="ar-SA"/>
        </w:rPr>
        <w:t>Radiation Physics and Chemistry.</w:t>
      </w:r>
      <w:proofErr w:type="gramEnd"/>
      <w:r>
        <w:rPr>
          <w:rFonts w:cs="Arial"/>
          <w:sz w:val="20"/>
          <w:szCs w:val="22"/>
          <w:lang w:bidi="ar-SA"/>
        </w:rPr>
        <w:t xml:space="preserve"> 81:1064-1067.</w:t>
      </w:r>
    </w:p>
    <w:p w14:paraId="7F7F3054" w14:textId="77777777" w:rsidR="004D38DF" w:rsidRDefault="004D38DF" w:rsidP="00E074E6">
      <w:pPr>
        <w:rPr>
          <w:rFonts w:cs="Arial"/>
          <w:sz w:val="20"/>
          <w:szCs w:val="22"/>
          <w:lang w:bidi="ar-SA"/>
        </w:rPr>
      </w:pPr>
    </w:p>
    <w:p w14:paraId="58DCBEB7" w14:textId="77777777" w:rsidR="00C544DC" w:rsidRPr="00C544DC" w:rsidRDefault="00C544DC" w:rsidP="00C544DC">
      <w:pPr>
        <w:widowControl/>
        <w:tabs>
          <w:tab w:val="left" w:pos="360"/>
        </w:tabs>
        <w:spacing w:after="160" w:line="276" w:lineRule="auto"/>
        <w:rPr>
          <w:rFonts w:cs="Arial"/>
          <w:sz w:val="20"/>
          <w:szCs w:val="20"/>
          <w:lang w:bidi="ar-SA"/>
        </w:rPr>
      </w:pPr>
      <w:proofErr w:type="spellStart"/>
      <w:r w:rsidRPr="00C544DC">
        <w:rPr>
          <w:rFonts w:cs="Arial"/>
          <w:sz w:val="20"/>
          <w:szCs w:val="20"/>
          <w:lang w:bidi="ar-SA"/>
        </w:rPr>
        <w:t>Groth</w:t>
      </w:r>
      <w:proofErr w:type="spellEnd"/>
      <w:r w:rsidRPr="00C544DC">
        <w:rPr>
          <w:rFonts w:cs="Arial"/>
          <w:sz w:val="20"/>
          <w:szCs w:val="20"/>
          <w:lang w:bidi="ar-SA"/>
        </w:rPr>
        <w:t xml:space="preserve"> E (2007) Food Irradiation for fresh produce. </w:t>
      </w:r>
      <w:proofErr w:type="gramStart"/>
      <w:r w:rsidRPr="00C544DC">
        <w:rPr>
          <w:rFonts w:cs="Arial"/>
          <w:sz w:val="20"/>
          <w:szCs w:val="20"/>
          <w:lang w:bidi="ar-SA"/>
        </w:rPr>
        <w:t>The organic centre</w:t>
      </w:r>
      <w:r w:rsidRPr="00C544DC">
        <w:rPr>
          <w:rFonts w:cs="Arial"/>
          <w:color w:val="00B0F0"/>
          <w:sz w:val="20"/>
          <w:szCs w:val="20"/>
          <w:lang w:bidi="ar-SA"/>
        </w:rPr>
        <w:t>.</w:t>
      </w:r>
      <w:proofErr w:type="gramEnd"/>
      <w:r w:rsidRPr="00C544DC">
        <w:rPr>
          <w:rFonts w:cs="Arial"/>
          <w:color w:val="00B0F0"/>
          <w:sz w:val="20"/>
          <w:szCs w:val="20"/>
          <w:lang w:bidi="ar-SA"/>
        </w:rPr>
        <w:t xml:space="preserve"> </w:t>
      </w:r>
      <w:hyperlink r:id="rId26" w:history="1">
        <w:r w:rsidRPr="00C544DC">
          <w:rPr>
            <w:rFonts w:cs="Arial"/>
            <w:color w:val="0000FF"/>
            <w:sz w:val="20"/>
            <w:szCs w:val="20"/>
            <w:u w:val="single"/>
            <w:lang w:bidi="ar-SA"/>
          </w:rPr>
          <w:t>http://www.organic-center.org/science.safety.php?action=view&amp;report_id=92</w:t>
        </w:r>
      </w:hyperlink>
    </w:p>
    <w:p w14:paraId="05AD8498" w14:textId="5BA77F3E" w:rsidR="00E074E6" w:rsidRDefault="00776696" w:rsidP="00E074E6">
      <w:pPr>
        <w:rPr>
          <w:rFonts w:cs="Arial"/>
          <w:sz w:val="20"/>
          <w:szCs w:val="22"/>
          <w:lang w:bidi="ar-SA"/>
        </w:rPr>
      </w:pPr>
      <w:r w:rsidRPr="0013229F">
        <w:rPr>
          <w:rFonts w:cs="Arial"/>
          <w:sz w:val="20"/>
          <w:szCs w:val="22"/>
          <w:lang w:bidi="ar-SA"/>
        </w:rPr>
        <w:t>I</w:t>
      </w:r>
      <w:r w:rsidR="00082396">
        <w:rPr>
          <w:rFonts w:cs="Arial"/>
          <w:sz w:val="20"/>
          <w:szCs w:val="22"/>
          <w:lang w:bidi="ar-SA"/>
        </w:rPr>
        <w:t>SPM</w:t>
      </w:r>
      <w:r w:rsidRPr="0013229F">
        <w:rPr>
          <w:rFonts w:cs="Arial"/>
          <w:sz w:val="20"/>
          <w:szCs w:val="22"/>
          <w:lang w:bidi="ar-SA"/>
        </w:rPr>
        <w:t xml:space="preserve"> (2003) International Standards for Phytosanitary Measures, ISPM No. 18 Guidelines for the Use of Irradiation as a Phytosanitary Measure. </w:t>
      </w:r>
      <w:proofErr w:type="gramStart"/>
      <w:r w:rsidRPr="0013229F">
        <w:rPr>
          <w:rFonts w:cs="Arial"/>
          <w:sz w:val="20"/>
          <w:szCs w:val="22"/>
          <w:lang w:bidi="ar-SA"/>
        </w:rPr>
        <w:t>Secretariat of the International Plant Protection Convention.</w:t>
      </w:r>
      <w:proofErr w:type="gramEnd"/>
      <w:r w:rsidRPr="0013229F">
        <w:rPr>
          <w:rFonts w:cs="Arial"/>
          <w:sz w:val="20"/>
          <w:szCs w:val="22"/>
          <w:lang w:bidi="ar-SA"/>
        </w:rPr>
        <w:t xml:space="preserve"> </w:t>
      </w:r>
      <w:proofErr w:type="gramStart"/>
      <w:r w:rsidRPr="0013229F">
        <w:rPr>
          <w:rFonts w:cs="Arial"/>
          <w:sz w:val="20"/>
          <w:szCs w:val="22"/>
          <w:lang w:bidi="ar-SA"/>
        </w:rPr>
        <w:t>Food and Agriculture Organisation of the UN, Rome, Italy, 2006.</w:t>
      </w:r>
      <w:proofErr w:type="gramEnd"/>
      <w:r w:rsidRPr="0013229F">
        <w:rPr>
          <w:rFonts w:cs="Arial"/>
          <w:sz w:val="20"/>
          <w:szCs w:val="22"/>
          <w:lang w:bidi="ar-SA"/>
        </w:rPr>
        <w:t xml:space="preserve"> </w:t>
      </w:r>
      <w:hyperlink r:id="rId27" w:history="1">
        <w:r w:rsidR="00EA005F" w:rsidRPr="00EA005F">
          <w:rPr>
            <w:rStyle w:val="Hyperlink"/>
            <w:sz w:val="20"/>
            <w:szCs w:val="20"/>
          </w:rPr>
          <w:t>http://www.fao.org/3/a-a0450e.pdf</w:t>
        </w:r>
      </w:hyperlink>
      <w:r w:rsidR="00EA005F">
        <w:t xml:space="preserve">  </w:t>
      </w:r>
      <w:r w:rsidRPr="0013229F">
        <w:rPr>
          <w:rFonts w:cs="Arial"/>
          <w:sz w:val="20"/>
          <w:szCs w:val="22"/>
          <w:lang w:bidi="ar-SA"/>
        </w:rPr>
        <w:t xml:space="preserve">Accessed </w:t>
      </w:r>
      <w:r w:rsidR="00EA005F" w:rsidRPr="00EA005F">
        <w:rPr>
          <w:rFonts w:cs="Arial"/>
          <w:sz w:val="20"/>
          <w:szCs w:val="22"/>
          <w:lang w:bidi="ar-SA"/>
        </w:rPr>
        <w:t>October 2016</w:t>
      </w:r>
    </w:p>
    <w:p w14:paraId="4602BDE8" w14:textId="77777777" w:rsidR="00E074E6" w:rsidRDefault="00E074E6" w:rsidP="00E074E6">
      <w:pPr>
        <w:rPr>
          <w:rFonts w:cs="Arial"/>
          <w:sz w:val="20"/>
          <w:szCs w:val="22"/>
          <w:lang w:bidi="ar-SA"/>
        </w:rPr>
      </w:pPr>
    </w:p>
    <w:p w14:paraId="3184ACBE" w14:textId="32C22899" w:rsidR="00E074E6" w:rsidRPr="00E074E6" w:rsidRDefault="00E074E6" w:rsidP="00E074E6">
      <w:pPr>
        <w:rPr>
          <w:rFonts w:cs="Arial"/>
          <w:sz w:val="20"/>
          <w:szCs w:val="20"/>
          <w:lang w:bidi="ar-SA"/>
        </w:rPr>
      </w:pPr>
      <w:proofErr w:type="gramStart"/>
      <w:r>
        <w:rPr>
          <w:rFonts w:cs="Arial"/>
          <w:sz w:val="20"/>
          <w:szCs w:val="20"/>
          <w:lang w:bidi="ar-SA"/>
        </w:rPr>
        <w:t>New Zealand Ministry for Primary Industries (2016</w:t>
      </w:r>
      <w:r w:rsidR="00C544DC">
        <w:rPr>
          <w:rFonts w:cs="Arial"/>
          <w:sz w:val="20"/>
          <w:szCs w:val="20"/>
          <w:lang w:bidi="ar-SA"/>
        </w:rPr>
        <w:t xml:space="preserve">) </w:t>
      </w:r>
      <w:r>
        <w:rPr>
          <w:rFonts w:cs="Arial"/>
          <w:sz w:val="20"/>
          <w:szCs w:val="20"/>
          <w:lang w:bidi="ar-SA"/>
        </w:rPr>
        <w:t>Standard 152.02 Importation and clearance of fresh fruit and vegetables into New Zealand.</w:t>
      </w:r>
      <w:proofErr w:type="gramEnd"/>
      <w:r w:rsidRPr="00E074E6">
        <w:rPr>
          <w:sz w:val="20"/>
          <w:szCs w:val="20"/>
          <w:lang w:val="en-AU"/>
        </w:rPr>
        <w:t xml:space="preserve"> </w:t>
      </w:r>
      <w:hyperlink r:id="rId28" w:history="1">
        <w:r w:rsidRPr="00E074E6">
          <w:rPr>
            <w:rStyle w:val="Hyperlink"/>
            <w:sz w:val="20"/>
            <w:szCs w:val="20"/>
            <w:lang w:val="en-AU"/>
          </w:rPr>
          <w:t>https://www.mpi.govt.nz/law-and-policy/requirements/import-health-standards/</w:t>
        </w:r>
      </w:hyperlink>
      <w:r w:rsidRPr="00E074E6">
        <w:rPr>
          <w:sz w:val="20"/>
          <w:szCs w:val="20"/>
          <w:lang w:val="en-AU"/>
        </w:rPr>
        <w:t xml:space="preserve"> </w:t>
      </w:r>
      <w:r>
        <w:rPr>
          <w:sz w:val="20"/>
          <w:szCs w:val="20"/>
          <w:lang w:val="en-AU"/>
        </w:rPr>
        <w:t xml:space="preserve"> </w:t>
      </w:r>
      <w:r w:rsidRPr="00E074E6">
        <w:rPr>
          <w:sz w:val="20"/>
          <w:szCs w:val="20"/>
          <w:lang w:val="en-AU"/>
        </w:rPr>
        <w:t>Accessed September 2016.</w:t>
      </w:r>
    </w:p>
    <w:p w14:paraId="74B2A94F" w14:textId="77777777" w:rsidR="00C544DC" w:rsidRDefault="00C544DC" w:rsidP="00776696">
      <w:pPr>
        <w:rPr>
          <w:rFonts w:cs="Arial"/>
          <w:szCs w:val="22"/>
          <w:highlight w:val="yellow"/>
          <w:lang w:eastAsia="en-NZ"/>
        </w:rPr>
      </w:pPr>
    </w:p>
    <w:p w14:paraId="2744529D" w14:textId="77777777" w:rsidR="00A63421" w:rsidRPr="00BF5EF9" w:rsidRDefault="00A63421" w:rsidP="00A63421">
      <w:pPr>
        <w:ind w:right="-286"/>
        <w:rPr>
          <w:sz w:val="20"/>
          <w:szCs w:val="20"/>
        </w:rPr>
      </w:pPr>
      <w:r w:rsidRPr="00BF5EF9">
        <w:rPr>
          <w:sz w:val="20"/>
          <w:szCs w:val="20"/>
        </w:rPr>
        <w:t>SCF (1986) Report of the Scientific Committee for Food of the Commission of the European Communities on the wholesomeness of foods irradiated by suitable procedures, pub EC Luxembourg 1987.</w:t>
      </w:r>
    </w:p>
    <w:p w14:paraId="41F93399" w14:textId="77777777" w:rsidR="00C544DC" w:rsidRDefault="00C544DC" w:rsidP="00505515">
      <w:pPr>
        <w:widowControl/>
        <w:autoSpaceDE w:val="0"/>
        <w:autoSpaceDN w:val="0"/>
        <w:adjustRightInd w:val="0"/>
        <w:rPr>
          <w:sz w:val="20"/>
          <w:szCs w:val="20"/>
        </w:rPr>
      </w:pPr>
    </w:p>
    <w:p w14:paraId="29EF4701" w14:textId="1A90F900" w:rsidR="00A63421" w:rsidRPr="00BF5EF9" w:rsidRDefault="00A63421" w:rsidP="00A63421">
      <w:pPr>
        <w:rPr>
          <w:i/>
          <w:iCs/>
          <w:sz w:val="20"/>
          <w:szCs w:val="20"/>
        </w:rPr>
      </w:pPr>
      <w:proofErr w:type="gramStart"/>
      <w:r w:rsidRPr="00BF5EF9">
        <w:rPr>
          <w:sz w:val="20"/>
          <w:szCs w:val="20"/>
        </w:rPr>
        <w:t>US</w:t>
      </w:r>
      <w:r w:rsidR="001D4907">
        <w:rPr>
          <w:sz w:val="20"/>
          <w:szCs w:val="20"/>
        </w:rPr>
        <w:t xml:space="preserve"> </w:t>
      </w:r>
      <w:r w:rsidRPr="00BF5EF9">
        <w:rPr>
          <w:sz w:val="20"/>
          <w:szCs w:val="20"/>
        </w:rPr>
        <w:t>FDA (1986) United States Food and Drug Administration.</w:t>
      </w:r>
      <w:proofErr w:type="gramEnd"/>
      <w:r w:rsidRPr="00BF5EF9">
        <w:rPr>
          <w:sz w:val="20"/>
          <w:szCs w:val="20"/>
        </w:rPr>
        <w:t xml:space="preserve"> </w:t>
      </w:r>
      <w:proofErr w:type="gramStart"/>
      <w:r w:rsidRPr="00BF5EF9">
        <w:rPr>
          <w:sz w:val="20"/>
          <w:szCs w:val="20"/>
        </w:rPr>
        <w:t>Irradiation in the production, processing, and handling of food; final rule.</w:t>
      </w:r>
      <w:proofErr w:type="gramEnd"/>
      <w:r w:rsidRPr="00BF5EF9">
        <w:rPr>
          <w:sz w:val="20"/>
          <w:szCs w:val="20"/>
        </w:rPr>
        <w:t xml:space="preserve"> Federal Register, 51 FR 13375-13399, 18 April 1986.</w:t>
      </w:r>
    </w:p>
    <w:p w14:paraId="7A0809B6" w14:textId="77777777" w:rsidR="00C544DC" w:rsidRPr="00A63421" w:rsidRDefault="00C544DC" w:rsidP="00505515">
      <w:pPr>
        <w:widowControl/>
        <w:autoSpaceDE w:val="0"/>
        <w:autoSpaceDN w:val="0"/>
        <w:adjustRightInd w:val="0"/>
        <w:rPr>
          <w:sz w:val="20"/>
          <w:szCs w:val="20"/>
          <w:lang w:val="en-AU"/>
        </w:rPr>
      </w:pPr>
    </w:p>
    <w:p w14:paraId="36D8B87E" w14:textId="5D9C3DBD" w:rsidR="004D38DF" w:rsidRPr="00C544DC" w:rsidRDefault="004D38DF" w:rsidP="00505515">
      <w:pPr>
        <w:widowControl/>
        <w:autoSpaceDE w:val="0"/>
        <w:autoSpaceDN w:val="0"/>
        <w:adjustRightInd w:val="0"/>
        <w:rPr>
          <w:sz w:val="20"/>
          <w:szCs w:val="20"/>
        </w:rPr>
      </w:pPr>
      <w:r w:rsidRPr="00C544DC">
        <w:rPr>
          <w:sz w:val="20"/>
          <w:szCs w:val="20"/>
        </w:rPr>
        <w:t>WHO</w:t>
      </w:r>
      <w:r w:rsidR="00C544DC">
        <w:rPr>
          <w:sz w:val="20"/>
          <w:szCs w:val="20"/>
        </w:rPr>
        <w:t xml:space="preserve"> </w:t>
      </w:r>
      <w:r w:rsidRPr="00C544DC">
        <w:rPr>
          <w:sz w:val="20"/>
          <w:szCs w:val="20"/>
        </w:rPr>
        <w:t>(1994) Safety and nutritional adequacy of irradiated food. WHO Geneva.</w:t>
      </w:r>
    </w:p>
    <w:p w14:paraId="6AC6F2FA" w14:textId="77777777" w:rsidR="004D38DF" w:rsidRPr="00C544DC" w:rsidRDefault="004D38DF" w:rsidP="00505515">
      <w:pPr>
        <w:widowControl/>
        <w:autoSpaceDE w:val="0"/>
        <w:autoSpaceDN w:val="0"/>
        <w:adjustRightInd w:val="0"/>
        <w:rPr>
          <w:sz w:val="20"/>
          <w:szCs w:val="20"/>
        </w:rPr>
      </w:pPr>
    </w:p>
    <w:p w14:paraId="3665B72B" w14:textId="4DF9526D" w:rsidR="004D38DF" w:rsidRPr="00C544DC" w:rsidRDefault="004D38DF" w:rsidP="00505515">
      <w:pPr>
        <w:widowControl/>
        <w:autoSpaceDE w:val="0"/>
        <w:autoSpaceDN w:val="0"/>
        <w:adjustRightInd w:val="0"/>
        <w:rPr>
          <w:sz w:val="20"/>
          <w:szCs w:val="20"/>
        </w:rPr>
      </w:pPr>
      <w:proofErr w:type="gramStart"/>
      <w:r w:rsidRPr="00C544DC">
        <w:rPr>
          <w:sz w:val="20"/>
          <w:szCs w:val="20"/>
        </w:rPr>
        <w:t>WHO (1999) High-dose irradiation: Wholesomeness of food irradiated with doses above 10kGy.</w:t>
      </w:r>
      <w:proofErr w:type="gramEnd"/>
      <w:r w:rsidRPr="00C544DC">
        <w:rPr>
          <w:sz w:val="20"/>
          <w:szCs w:val="20"/>
        </w:rPr>
        <w:t xml:space="preserve"> </w:t>
      </w:r>
      <w:proofErr w:type="gramStart"/>
      <w:r w:rsidRPr="00C544DC">
        <w:rPr>
          <w:sz w:val="20"/>
          <w:szCs w:val="20"/>
        </w:rPr>
        <w:t>Joint FAO/IAEA/WHO Study Group on High-Dose Irradiation.</w:t>
      </w:r>
      <w:proofErr w:type="gramEnd"/>
      <w:r w:rsidRPr="00C544DC">
        <w:rPr>
          <w:sz w:val="20"/>
          <w:szCs w:val="20"/>
        </w:rPr>
        <w:t xml:space="preserve"> WHO Technical Report Series 890. Geneva.</w:t>
      </w:r>
    </w:p>
    <w:p w14:paraId="024E4CA5" w14:textId="77777777" w:rsidR="004D38DF" w:rsidRDefault="004D38DF" w:rsidP="00505515">
      <w:pPr>
        <w:widowControl/>
        <w:autoSpaceDE w:val="0"/>
        <w:autoSpaceDN w:val="0"/>
        <w:adjustRightInd w:val="0"/>
      </w:pPr>
    </w:p>
    <w:sectPr w:rsidR="004D38DF" w:rsidSect="008E2339">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7BB1F" w14:textId="77777777" w:rsidR="005E08BF" w:rsidRDefault="005E08BF" w:rsidP="00776696">
      <w:r>
        <w:separator/>
      </w:r>
    </w:p>
  </w:endnote>
  <w:endnote w:type="continuationSeparator" w:id="0">
    <w:p w14:paraId="2DEBA5C3" w14:textId="77777777" w:rsidR="005E08BF" w:rsidRDefault="005E08BF" w:rsidP="00776696">
      <w:r>
        <w:continuationSeparator/>
      </w:r>
    </w:p>
  </w:endnote>
  <w:endnote w:type="continuationNotice" w:id="1">
    <w:p w14:paraId="5A2A794C" w14:textId="77777777" w:rsidR="005E08BF" w:rsidRDefault="005E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60896" w14:textId="77777777" w:rsidR="00933199" w:rsidRDefault="00933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7A07C" w14:textId="7F88AAAC" w:rsidR="005E08BF" w:rsidRDefault="007006F6" w:rsidP="007006F6">
    <w:pPr>
      <w:pStyle w:val="Footer"/>
      <w:jc w:val="center"/>
    </w:pPr>
    <w:proofErr w:type="spellStart"/>
    <w:proofErr w:type="gramStart"/>
    <w:r>
      <w:t>i</w:t>
    </w:r>
    <w:proofErr w:type="spellEnd"/>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E40ED" w14:textId="77777777" w:rsidR="00933199" w:rsidRDefault="009331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17710"/>
      <w:docPartObj>
        <w:docPartGallery w:val="Page Numbers (Bottom of Page)"/>
        <w:docPartUnique/>
      </w:docPartObj>
    </w:sdtPr>
    <w:sdtEndPr>
      <w:rPr>
        <w:noProof/>
      </w:rPr>
    </w:sdtEndPr>
    <w:sdtContent>
      <w:p w14:paraId="0871C229" w14:textId="1A88C16D" w:rsidR="007006F6" w:rsidRDefault="007006F6">
        <w:pPr>
          <w:pStyle w:val="Footer"/>
          <w:jc w:val="center"/>
        </w:pPr>
        <w:r>
          <w:fldChar w:fldCharType="begin"/>
        </w:r>
        <w:r>
          <w:instrText xml:space="preserve"> PAGE   \* MERGEFORMAT </w:instrText>
        </w:r>
        <w:r>
          <w:fldChar w:fldCharType="separate"/>
        </w:r>
        <w:r w:rsidR="001F5681">
          <w:rPr>
            <w:noProof/>
          </w:rPr>
          <w:t>5</w:t>
        </w:r>
        <w:r>
          <w:rPr>
            <w:noProof/>
          </w:rPr>
          <w:fldChar w:fldCharType="end"/>
        </w:r>
      </w:p>
    </w:sdtContent>
  </w:sdt>
  <w:p w14:paraId="6544128D" w14:textId="77777777" w:rsidR="007006F6" w:rsidRDefault="007006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156412"/>
      <w:docPartObj>
        <w:docPartGallery w:val="Page Numbers (Bottom of Page)"/>
        <w:docPartUnique/>
      </w:docPartObj>
    </w:sdtPr>
    <w:sdtEndPr>
      <w:rPr>
        <w:noProof/>
      </w:rPr>
    </w:sdtEndPr>
    <w:sdtContent>
      <w:p w14:paraId="7143CEBF" w14:textId="57234889" w:rsidR="005E08BF" w:rsidRDefault="005E08BF" w:rsidP="007006F6">
        <w:pPr>
          <w:pStyle w:val="Footer"/>
          <w:jc w:val="center"/>
        </w:pPr>
        <w:r>
          <w:fldChar w:fldCharType="begin"/>
        </w:r>
        <w:r>
          <w:instrText xml:space="preserve"> PAGE   \* MERGEFORMAT </w:instrText>
        </w:r>
        <w:r>
          <w:fldChar w:fldCharType="separate"/>
        </w:r>
        <w:r w:rsidR="001F5681">
          <w:rPr>
            <w:noProof/>
          </w:rPr>
          <w:t>13</w:t>
        </w:r>
        <w:r>
          <w:rPr>
            <w:noProof/>
          </w:rPr>
          <w:fldChar w:fldCharType="end"/>
        </w:r>
      </w:p>
    </w:sdtContent>
  </w:sdt>
  <w:p w14:paraId="29F54957" w14:textId="77777777" w:rsidR="005E08BF" w:rsidRDefault="005E0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2E122" w14:textId="77777777" w:rsidR="005E08BF" w:rsidRDefault="005E08BF" w:rsidP="00776696">
      <w:r>
        <w:separator/>
      </w:r>
    </w:p>
  </w:footnote>
  <w:footnote w:type="continuationSeparator" w:id="0">
    <w:p w14:paraId="43594765" w14:textId="77777777" w:rsidR="005E08BF" w:rsidRDefault="005E08BF" w:rsidP="00776696">
      <w:r>
        <w:continuationSeparator/>
      </w:r>
    </w:p>
  </w:footnote>
  <w:footnote w:type="continuationNotice" w:id="1">
    <w:p w14:paraId="5C38009B" w14:textId="77777777" w:rsidR="005E08BF" w:rsidRDefault="005E08BF"/>
  </w:footnote>
  <w:footnote w:id="2">
    <w:p w14:paraId="24BE7EE8" w14:textId="187FEC3A" w:rsidR="005E08BF" w:rsidRPr="000D141F" w:rsidRDefault="005E08BF">
      <w:pPr>
        <w:pStyle w:val="FootnoteText"/>
        <w:rPr>
          <w:lang w:val="en-AU"/>
        </w:rPr>
      </w:pPr>
      <w:r>
        <w:rPr>
          <w:rStyle w:val="FootnoteReference"/>
        </w:rPr>
        <w:footnoteRef/>
      </w:r>
      <w:r>
        <w:t xml:space="preserve"> </w:t>
      </w:r>
      <w:r>
        <w:rPr>
          <w:lang w:val="en-AU"/>
        </w:rPr>
        <w:t xml:space="preserve">Volume data for Australia sourced from </w:t>
      </w:r>
      <w:proofErr w:type="spellStart"/>
      <w:r>
        <w:rPr>
          <w:lang w:val="en-AU"/>
        </w:rPr>
        <w:t>Steritech</w:t>
      </w:r>
      <w:proofErr w:type="spellEnd"/>
      <w:r>
        <w:rPr>
          <w:lang w:val="en-AU"/>
        </w:rPr>
        <w:t xml:space="preserve"> and Department of Agriculture and Water Resources. </w:t>
      </w:r>
    </w:p>
  </w:footnote>
  <w:footnote w:id="3">
    <w:p w14:paraId="3F0E87E0" w14:textId="204DA005" w:rsidR="005E08BF" w:rsidRPr="000D141F" w:rsidRDefault="005E08BF">
      <w:pPr>
        <w:pStyle w:val="FootnoteText"/>
        <w:rPr>
          <w:lang w:val="en-AU"/>
        </w:rPr>
      </w:pPr>
      <w:r>
        <w:rPr>
          <w:rStyle w:val="FootnoteReference"/>
        </w:rPr>
        <w:footnoteRef/>
      </w:r>
      <w:r>
        <w:t xml:space="preserve"> Volume data for Australian imported produce sourced from </w:t>
      </w:r>
      <w:proofErr w:type="spellStart"/>
      <w:r>
        <w:t>Steritech</w:t>
      </w:r>
      <w:proofErr w:type="spellEnd"/>
      <w:r>
        <w:t xml:space="preserve">, and other imported produce sourced from New Zealand Ministry for Primary Industries. </w:t>
      </w:r>
    </w:p>
  </w:footnote>
  <w:footnote w:id="4">
    <w:p w14:paraId="5E360FAC" w14:textId="5C7B9064" w:rsidR="00B213C6" w:rsidRPr="007F7E32" w:rsidRDefault="00B213C6">
      <w:pPr>
        <w:pStyle w:val="FootnoteText"/>
        <w:rPr>
          <w:lang w:val="en-AU"/>
        </w:rPr>
      </w:pPr>
      <w:r>
        <w:rPr>
          <w:rStyle w:val="FootnoteReference"/>
        </w:rPr>
        <w:footnoteRef/>
      </w:r>
      <w:r>
        <w:t xml:space="preserve"> </w:t>
      </w:r>
      <w:r w:rsidRPr="00B213C6">
        <w:t>Foods that are sterilized by irradiation are exposed to substantially higher levels of treatment than those approved for general use.</w:t>
      </w:r>
    </w:p>
  </w:footnote>
  <w:footnote w:id="5">
    <w:p w14:paraId="4052AF76" w14:textId="77777777" w:rsidR="005E08BF" w:rsidRPr="00773EAD" w:rsidRDefault="005E08BF" w:rsidP="00776696">
      <w:pPr>
        <w:pStyle w:val="FootnoteText"/>
        <w:rPr>
          <w:lang w:val="en-AU"/>
        </w:rPr>
      </w:pPr>
      <w:r w:rsidRPr="00773EAD">
        <w:rPr>
          <w:rStyle w:val="FootnoteReference"/>
        </w:rPr>
        <w:footnoteRef/>
      </w:r>
      <w:r w:rsidRPr="00773EAD">
        <w:t xml:space="preserve"> </w:t>
      </w:r>
      <w:r w:rsidRPr="00773EAD">
        <w:rPr>
          <w:lang w:val="en-AU"/>
        </w:rPr>
        <w:t>Note that Caesium</w:t>
      </w:r>
      <w:r w:rsidRPr="00773EAD">
        <w:rPr>
          <w:vertAlign w:val="superscript"/>
          <w:lang w:val="en-AU"/>
        </w:rPr>
        <w:t>137</w:t>
      </w:r>
      <w:r w:rsidRPr="00773EAD">
        <w:rPr>
          <w:lang w:val="en-AU"/>
        </w:rPr>
        <w:t xml:space="preserve"> is not approved as a source of ionising radiation for food in Australia and New Zealand </w:t>
      </w:r>
    </w:p>
  </w:footnote>
  <w:footnote w:id="6">
    <w:p w14:paraId="7D758496" w14:textId="77777777" w:rsidR="005E08BF" w:rsidRPr="0013229F" w:rsidRDefault="005E08BF" w:rsidP="00B03817">
      <w:pPr>
        <w:pStyle w:val="FootnoteText"/>
        <w:ind w:right="-428"/>
        <w:rPr>
          <w:szCs w:val="18"/>
          <w:lang w:val="en-AU"/>
        </w:rPr>
      </w:pPr>
      <w:r w:rsidRPr="0013229F">
        <w:rPr>
          <w:rStyle w:val="FootnoteReference"/>
          <w:szCs w:val="18"/>
        </w:rPr>
        <w:footnoteRef/>
      </w:r>
      <w:r w:rsidRPr="0013229F">
        <w:rPr>
          <w:szCs w:val="18"/>
        </w:rPr>
        <w:t xml:space="preserve"> </w:t>
      </w:r>
      <w:hyperlink r:id="rId1" w:history="1">
        <w:r w:rsidRPr="0013229F">
          <w:rPr>
            <w:rStyle w:val="Hyperlink"/>
            <w:szCs w:val="18"/>
          </w:rPr>
          <w:t>http://www.foodstandards.gov.au/code/applications/Pages/applicationa413irradiationofherbsandspices/Default.aspx</w:t>
        </w:r>
      </w:hyperlink>
    </w:p>
  </w:footnote>
  <w:footnote w:id="7">
    <w:p w14:paraId="5AA09EEC" w14:textId="6FEF4863" w:rsidR="005E08BF" w:rsidRPr="008479B6" w:rsidRDefault="005E08BF" w:rsidP="00E47CD7">
      <w:pPr>
        <w:pStyle w:val="FootnoteText"/>
        <w:ind w:right="-2"/>
        <w:rPr>
          <w:lang w:val="en-AU"/>
        </w:rPr>
      </w:pPr>
      <w:r>
        <w:rPr>
          <w:rStyle w:val="FootnoteReference"/>
        </w:rPr>
        <w:footnoteRef/>
      </w:r>
      <w:r>
        <w:t xml:space="preserve"> </w:t>
      </w:r>
      <w:hyperlink r:id="rId2" w:history="1">
        <w:r w:rsidRPr="006003A5">
          <w:rPr>
            <w:rStyle w:val="Hyperlink"/>
            <w:szCs w:val="18"/>
          </w:rPr>
          <w:t>http://www.foodstandards.gov.au/code/applications/pages/applicationa443irradiationoftropicalfruit/a443farexecsummary.aspx</w:t>
        </w:r>
      </w:hyperlink>
      <w:r>
        <w:t xml:space="preserve"> </w:t>
      </w:r>
    </w:p>
  </w:footnote>
  <w:footnote w:id="8">
    <w:p w14:paraId="5EFDBCE4" w14:textId="77777777" w:rsidR="005E08BF" w:rsidRPr="008479B6" w:rsidRDefault="005E08BF" w:rsidP="00E47CD7">
      <w:pPr>
        <w:pStyle w:val="FootnoteText"/>
        <w:rPr>
          <w:szCs w:val="18"/>
          <w:lang w:val="en-AU"/>
        </w:rPr>
      </w:pPr>
      <w:r w:rsidRPr="008479B6">
        <w:rPr>
          <w:rStyle w:val="FootnoteReference"/>
          <w:szCs w:val="18"/>
        </w:rPr>
        <w:footnoteRef/>
      </w:r>
      <w:r w:rsidRPr="008479B6">
        <w:rPr>
          <w:szCs w:val="18"/>
        </w:rPr>
        <w:t xml:space="preserve"> </w:t>
      </w:r>
      <w:hyperlink r:id="rId3" w:history="1">
        <w:r w:rsidRPr="008479B6">
          <w:rPr>
            <w:rStyle w:val="Hyperlink"/>
            <w:szCs w:val="18"/>
          </w:rPr>
          <w:t>http://www.foodstandards.gov.au/code/applications/Pages/applicationa1038irra4655.aspx</w:t>
        </w:r>
      </w:hyperlink>
    </w:p>
  </w:footnote>
  <w:footnote w:id="9">
    <w:p w14:paraId="47446C04" w14:textId="77777777" w:rsidR="005E08BF" w:rsidRPr="008479B6" w:rsidRDefault="005E08BF" w:rsidP="00E47CD7">
      <w:pPr>
        <w:pStyle w:val="FootnoteText"/>
        <w:rPr>
          <w:szCs w:val="18"/>
          <w:lang w:val="en-AU"/>
        </w:rPr>
      </w:pPr>
      <w:r w:rsidRPr="008479B6">
        <w:rPr>
          <w:rStyle w:val="FootnoteReference"/>
          <w:szCs w:val="18"/>
        </w:rPr>
        <w:footnoteRef/>
      </w:r>
      <w:r w:rsidRPr="008479B6">
        <w:rPr>
          <w:szCs w:val="18"/>
        </w:rPr>
        <w:t xml:space="preserve"> </w:t>
      </w:r>
      <w:hyperlink r:id="rId4" w:history="1">
        <w:r w:rsidRPr="008479B6">
          <w:rPr>
            <w:rStyle w:val="Hyperlink"/>
            <w:szCs w:val="18"/>
          </w:rPr>
          <w:t>http://www.foodstandards.gov.au/code/applications/Pages/applicationa1069irra5511.aspx</w:t>
        </w:r>
      </w:hyperlink>
    </w:p>
  </w:footnote>
  <w:footnote w:id="10">
    <w:p w14:paraId="26F0B297" w14:textId="77777777" w:rsidR="005E08BF" w:rsidRPr="008479B6" w:rsidRDefault="005E08BF" w:rsidP="00E47CD7">
      <w:pPr>
        <w:pStyle w:val="FootnoteText"/>
        <w:rPr>
          <w:szCs w:val="18"/>
          <w:lang w:val="en-AU"/>
        </w:rPr>
      </w:pPr>
      <w:r w:rsidRPr="008479B6">
        <w:rPr>
          <w:rStyle w:val="FootnoteReference"/>
          <w:szCs w:val="18"/>
        </w:rPr>
        <w:footnoteRef/>
      </w:r>
      <w:r w:rsidRPr="008479B6">
        <w:rPr>
          <w:szCs w:val="18"/>
        </w:rPr>
        <w:t xml:space="preserve"> </w:t>
      </w:r>
      <w:proofErr w:type="spellStart"/>
      <w:r w:rsidRPr="008479B6">
        <w:rPr>
          <w:szCs w:val="18"/>
          <w:lang w:val="en-AU"/>
        </w:rPr>
        <w:t>Scallopini</w:t>
      </w:r>
      <w:proofErr w:type="spellEnd"/>
      <w:r w:rsidRPr="008479B6">
        <w:rPr>
          <w:szCs w:val="18"/>
          <w:lang w:val="en-AU"/>
        </w:rPr>
        <w:t xml:space="preserve"> and zucchini (courgette) are members of the summer squash family </w:t>
      </w:r>
    </w:p>
  </w:footnote>
  <w:footnote w:id="11">
    <w:p w14:paraId="7B001C39" w14:textId="77777777" w:rsidR="005E08BF" w:rsidRPr="002157C5" w:rsidRDefault="005E08BF" w:rsidP="00E47CD7">
      <w:pPr>
        <w:pStyle w:val="FootnoteText"/>
        <w:rPr>
          <w:lang w:val="en-AU"/>
        </w:rPr>
      </w:pPr>
      <w:r w:rsidRPr="008479B6">
        <w:rPr>
          <w:rStyle w:val="FootnoteReference"/>
          <w:szCs w:val="18"/>
        </w:rPr>
        <w:footnoteRef/>
      </w:r>
      <w:r w:rsidRPr="008479B6">
        <w:rPr>
          <w:szCs w:val="18"/>
        </w:rPr>
        <w:t xml:space="preserve"> </w:t>
      </w:r>
      <w:hyperlink r:id="rId5" w:history="1">
        <w:r w:rsidRPr="008479B6">
          <w:rPr>
            <w:rStyle w:val="Hyperlink"/>
            <w:szCs w:val="18"/>
          </w:rPr>
          <w:t>http://www.foodstandards.gov.au/code/applications/Pages/A1092-Irradiation.aspx</w:t>
        </w:r>
      </w:hyperlink>
    </w:p>
  </w:footnote>
  <w:footnote w:id="12">
    <w:p w14:paraId="036CDF4D" w14:textId="6F5C714C" w:rsidR="005E08BF" w:rsidRPr="00DF75F9" w:rsidRDefault="005E08BF">
      <w:pPr>
        <w:pStyle w:val="FootnoteText"/>
        <w:rPr>
          <w:lang w:val="en-AU"/>
        </w:rPr>
      </w:pPr>
      <w:r>
        <w:rPr>
          <w:rStyle w:val="FootnoteReference"/>
        </w:rPr>
        <w:footnoteRef/>
      </w:r>
      <w:r>
        <w:t xml:space="preserve"> </w:t>
      </w:r>
      <w:hyperlink r:id="rId6" w:history="1">
        <w:r w:rsidRPr="00455215">
          <w:rPr>
            <w:rStyle w:val="Hyperlink"/>
          </w:rPr>
          <w:t>http://www.foodstandards.gov.au/code/applications/Pages/A1115IrradiationBlueberriesandRaspberries.aspx</w:t>
        </w:r>
      </w:hyperlink>
      <w:r>
        <w:t xml:space="preserve"> </w:t>
      </w:r>
    </w:p>
  </w:footnote>
  <w:footnote w:id="13">
    <w:p w14:paraId="0C179F8A" w14:textId="77777777" w:rsidR="005E08BF" w:rsidRPr="00522F77" w:rsidRDefault="005E08BF" w:rsidP="00A22608">
      <w:pPr>
        <w:pStyle w:val="FootnoteText"/>
        <w:rPr>
          <w:lang w:val="en-AU"/>
        </w:rPr>
      </w:pPr>
      <w:r w:rsidRPr="00D46176">
        <w:rPr>
          <w:rStyle w:val="FootnoteReference"/>
          <w:rFonts w:eastAsiaTheme="majorEastAsia" w:cs="Arial"/>
        </w:rPr>
        <w:footnoteRef/>
      </w:r>
      <w:r w:rsidRPr="00D46176">
        <w:rPr>
          <w:rFonts w:cs="Arial"/>
        </w:rPr>
        <w:t xml:space="preserve"> </w:t>
      </w:r>
      <w:hyperlink r:id="rId7" w:history="1">
        <w:r w:rsidRPr="00D46176">
          <w:rPr>
            <w:rStyle w:val="Hyperlink"/>
            <w:rFonts w:cs="Arial"/>
          </w:rPr>
          <w:t>http://www.foodstandards.gov.au/publications/Pages/Nutritional-impact-of-phytosanitary-irradiation-of-fruits-and-vegetables.aspx</w:t>
        </w:r>
      </w:hyperlink>
    </w:p>
  </w:footnote>
  <w:footnote w:id="14">
    <w:p w14:paraId="34C6C93C" w14:textId="77777777" w:rsidR="005E08BF" w:rsidRPr="00773EAD" w:rsidRDefault="005E08BF" w:rsidP="00505515">
      <w:pPr>
        <w:pStyle w:val="FootnoteText"/>
        <w:rPr>
          <w:szCs w:val="18"/>
        </w:rPr>
      </w:pPr>
      <w:r w:rsidRPr="00773EAD">
        <w:rPr>
          <w:rStyle w:val="FootnoteReference"/>
          <w:szCs w:val="18"/>
        </w:rPr>
        <w:footnoteRef/>
      </w:r>
      <w:r w:rsidRPr="00773EAD">
        <w:rPr>
          <w:szCs w:val="18"/>
        </w:rPr>
        <w:t xml:space="preserve"> </w:t>
      </w:r>
      <w:hyperlink r:id="rId8" w:history="1">
        <w:r w:rsidRPr="00773EAD">
          <w:rPr>
            <w:rStyle w:val="Hyperlink"/>
            <w:rFonts w:eastAsiaTheme="majorEastAsia"/>
            <w:szCs w:val="18"/>
          </w:rPr>
          <w:t>http://www.codexalimentarius.net/download/standards/16/CXS_106e.pdf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C5BD" w14:textId="77777777" w:rsidR="00933199" w:rsidRDefault="009331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AC34" w14:textId="77777777" w:rsidR="005E08BF" w:rsidRDefault="005E08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2E233" w14:textId="77777777" w:rsidR="00933199" w:rsidRDefault="00933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81CCF1BC"/>
    <w:lvl w:ilvl="0" w:tplc="EB4C64AE">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C892459"/>
    <w:multiLevelType w:val="hybridMultilevel"/>
    <w:tmpl w:val="1AE2AC72"/>
    <w:lvl w:ilvl="0" w:tplc="0C090015">
      <w:start w:val="1"/>
      <w:numFmt w:val="upp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4B5E4E"/>
    <w:multiLevelType w:val="hybridMultilevel"/>
    <w:tmpl w:val="3FDA12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8"/>
  </w:num>
  <w:num w:numId="9">
    <w:abstractNumId w:val="4"/>
  </w:num>
  <w:num w:numId="10">
    <w:abstractNumId w:val="7"/>
  </w:num>
  <w:num w:numId="11">
    <w:abstractNumId w:val="8"/>
  </w:num>
  <w:num w:numId="12">
    <w:abstractNumId w:val="4"/>
  </w:num>
  <w:num w:numId="13">
    <w:abstractNumId w:val="7"/>
  </w:num>
  <w:num w:numId="14">
    <w:abstractNumId w:val="0"/>
  </w:num>
  <w:num w:numId="15">
    <w:abstractNumId w:val="6"/>
  </w:num>
  <w:num w:numId="16">
    <w:abstractNumId w:val="5"/>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documentProtection w:formatting="1" w:enforcement="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72"/>
    <w:rsid w:val="0000542C"/>
    <w:rsid w:val="00016721"/>
    <w:rsid w:val="00041643"/>
    <w:rsid w:val="000622E7"/>
    <w:rsid w:val="00066854"/>
    <w:rsid w:val="00066D85"/>
    <w:rsid w:val="00082396"/>
    <w:rsid w:val="000837E7"/>
    <w:rsid w:val="000A38F8"/>
    <w:rsid w:val="000D141F"/>
    <w:rsid w:val="000F2196"/>
    <w:rsid w:val="0014199D"/>
    <w:rsid w:val="00141C9B"/>
    <w:rsid w:val="00154F4C"/>
    <w:rsid w:val="00156B30"/>
    <w:rsid w:val="00156C2E"/>
    <w:rsid w:val="001734EA"/>
    <w:rsid w:val="00184403"/>
    <w:rsid w:val="001868F7"/>
    <w:rsid w:val="001902E7"/>
    <w:rsid w:val="00191770"/>
    <w:rsid w:val="0019661D"/>
    <w:rsid w:val="001A490A"/>
    <w:rsid w:val="001C5126"/>
    <w:rsid w:val="001D4907"/>
    <w:rsid w:val="001E2152"/>
    <w:rsid w:val="001E696B"/>
    <w:rsid w:val="001F1D53"/>
    <w:rsid w:val="001F26D4"/>
    <w:rsid w:val="001F5681"/>
    <w:rsid w:val="00205EB4"/>
    <w:rsid w:val="00211B79"/>
    <w:rsid w:val="00212B6B"/>
    <w:rsid w:val="00213972"/>
    <w:rsid w:val="002232B1"/>
    <w:rsid w:val="00234C31"/>
    <w:rsid w:val="00266F2C"/>
    <w:rsid w:val="00267852"/>
    <w:rsid w:val="002A0463"/>
    <w:rsid w:val="002D2FDD"/>
    <w:rsid w:val="002E3A87"/>
    <w:rsid w:val="0033021F"/>
    <w:rsid w:val="00341D25"/>
    <w:rsid w:val="00356186"/>
    <w:rsid w:val="003862E1"/>
    <w:rsid w:val="00393D4E"/>
    <w:rsid w:val="00395478"/>
    <w:rsid w:val="003A01FB"/>
    <w:rsid w:val="003C11A0"/>
    <w:rsid w:val="00404702"/>
    <w:rsid w:val="00420154"/>
    <w:rsid w:val="00427A15"/>
    <w:rsid w:val="00441D77"/>
    <w:rsid w:val="00443F05"/>
    <w:rsid w:val="00475F14"/>
    <w:rsid w:val="00486619"/>
    <w:rsid w:val="004942CC"/>
    <w:rsid w:val="004A24AA"/>
    <w:rsid w:val="004B0080"/>
    <w:rsid w:val="004C1EDE"/>
    <w:rsid w:val="004D3868"/>
    <w:rsid w:val="004D38DF"/>
    <w:rsid w:val="004E6694"/>
    <w:rsid w:val="00505515"/>
    <w:rsid w:val="0054036E"/>
    <w:rsid w:val="00560128"/>
    <w:rsid w:val="00564A42"/>
    <w:rsid w:val="00597C64"/>
    <w:rsid w:val="005B578D"/>
    <w:rsid w:val="005C1996"/>
    <w:rsid w:val="005E08BF"/>
    <w:rsid w:val="00604C3A"/>
    <w:rsid w:val="006053B4"/>
    <w:rsid w:val="00622109"/>
    <w:rsid w:val="006362F7"/>
    <w:rsid w:val="00653B5B"/>
    <w:rsid w:val="00656283"/>
    <w:rsid w:val="0066640E"/>
    <w:rsid w:val="00680835"/>
    <w:rsid w:val="00684F7D"/>
    <w:rsid w:val="0068536E"/>
    <w:rsid w:val="00697656"/>
    <w:rsid w:val="006A1B25"/>
    <w:rsid w:val="006A5E1B"/>
    <w:rsid w:val="006A7EB5"/>
    <w:rsid w:val="006B6900"/>
    <w:rsid w:val="006C05B6"/>
    <w:rsid w:val="006C1B70"/>
    <w:rsid w:val="006C54AB"/>
    <w:rsid w:val="006D473E"/>
    <w:rsid w:val="006D6F76"/>
    <w:rsid w:val="007006F6"/>
    <w:rsid w:val="007201F8"/>
    <w:rsid w:val="007329F9"/>
    <w:rsid w:val="00776696"/>
    <w:rsid w:val="00793DE6"/>
    <w:rsid w:val="007C44E1"/>
    <w:rsid w:val="007D18FE"/>
    <w:rsid w:val="007F6456"/>
    <w:rsid w:val="007F7E32"/>
    <w:rsid w:val="00830393"/>
    <w:rsid w:val="00833D5A"/>
    <w:rsid w:val="00860EE7"/>
    <w:rsid w:val="008665E2"/>
    <w:rsid w:val="00877A81"/>
    <w:rsid w:val="00882B15"/>
    <w:rsid w:val="00892132"/>
    <w:rsid w:val="008931F6"/>
    <w:rsid w:val="008A29A8"/>
    <w:rsid w:val="008D0C01"/>
    <w:rsid w:val="008E2339"/>
    <w:rsid w:val="008F065B"/>
    <w:rsid w:val="008F1A07"/>
    <w:rsid w:val="00927AA0"/>
    <w:rsid w:val="00933199"/>
    <w:rsid w:val="00935023"/>
    <w:rsid w:val="00974EE4"/>
    <w:rsid w:val="00977F09"/>
    <w:rsid w:val="009806A5"/>
    <w:rsid w:val="009916DC"/>
    <w:rsid w:val="009E265A"/>
    <w:rsid w:val="009E6F20"/>
    <w:rsid w:val="009F4226"/>
    <w:rsid w:val="009F54FC"/>
    <w:rsid w:val="00A147E5"/>
    <w:rsid w:val="00A208D2"/>
    <w:rsid w:val="00A22608"/>
    <w:rsid w:val="00A25B29"/>
    <w:rsid w:val="00A26F82"/>
    <w:rsid w:val="00A535B9"/>
    <w:rsid w:val="00A63421"/>
    <w:rsid w:val="00A808E9"/>
    <w:rsid w:val="00A90594"/>
    <w:rsid w:val="00AC6BBD"/>
    <w:rsid w:val="00AD37FB"/>
    <w:rsid w:val="00AE2630"/>
    <w:rsid w:val="00AF652B"/>
    <w:rsid w:val="00B02F33"/>
    <w:rsid w:val="00B03817"/>
    <w:rsid w:val="00B213C6"/>
    <w:rsid w:val="00B33A22"/>
    <w:rsid w:val="00B44136"/>
    <w:rsid w:val="00B53154"/>
    <w:rsid w:val="00B72074"/>
    <w:rsid w:val="00BC2133"/>
    <w:rsid w:val="00BE4F3A"/>
    <w:rsid w:val="00C004FC"/>
    <w:rsid w:val="00C019A6"/>
    <w:rsid w:val="00C067A2"/>
    <w:rsid w:val="00C122A7"/>
    <w:rsid w:val="00C35877"/>
    <w:rsid w:val="00C544DC"/>
    <w:rsid w:val="00C572A2"/>
    <w:rsid w:val="00CA330C"/>
    <w:rsid w:val="00CC138F"/>
    <w:rsid w:val="00CF54AB"/>
    <w:rsid w:val="00D02A5A"/>
    <w:rsid w:val="00D10E15"/>
    <w:rsid w:val="00D11EFC"/>
    <w:rsid w:val="00D5407B"/>
    <w:rsid w:val="00D5526B"/>
    <w:rsid w:val="00D66962"/>
    <w:rsid w:val="00D87D9C"/>
    <w:rsid w:val="00D907D5"/>
    <w:rsid w:val="00D92B3B"/>
    <w:rsid w:val="00D97430"/>
    <w:rsid w:val="00DA7DED"/>
    <w:rsid w:val="00DB5D38"/>
    <w:rsid w:val="00DC33E1"/>
    <w:rsid w:val="00DE74D9"/>
    <w:rsid w:val="00DF4A30"/>
    <w:rsid w:val="00DF75F9"/>
    <w:rsid w:val="00E0050C"/>
    <w:rsid w:val="00E0448E"/>
    <w:rsid w:val="00E074E6"/>
    <w:rsid w:val="00E21672"/>
    <w:rsid w:val="00E2450C"/>
    <w:rsid w:val="00E26377"/>
    <w:rsid w:val="00E340B5"/>
    <w:rsid w:val="00E4001E"/>
    <w:rsid w:val="00E42E89"/>
    <w:rsid w:val="00E47CD7"/>
    <w:rsid w:val="00E5246A"/>
    <w:rsid w:val="00E53ACA"/>
    <w:rsid w:val="00E636CA"/>
    <w:rsid w:val="00E9409E"/>
    <w:rsid w:val="00E9473B"/>
    <w:rsid w:val="00E97E78"/>
    <w:rsid w:val="00EA005F"/>
    <w:rsid w:val="00EB006B"/>
    <w:rsid w:val="00EB0BED"/>
    <w:rsid w:val="00EC65E9"/>
    <w:rsid w:val="00EF26FB"/>
    <w:rsid w:val="00F06857"/>
    <w:rsid w:val="00F253BB"/>
    <w:rsid w:val="00F4105E"/>
    <w:rsid w:val="00F51D3A"/>
    <w:rsid w:val="00F52C59"/>
    <w:rsid w:val="00F542C4"/>
    <w:rsid w:val="00F5624D"/>
    <w:rsid w:val="00F57BFE"/>
    <w:rsid w:val="00F616DA"/>
    <w:rsid w:val="00F76F95"/>
    <w:rsid w:val="00F84888"/>
    <w:rsid w:val="00F93D31"/>
    <w:rsid w:val="00FB7552"/>
    <w:rsid w:val="00FD4B8D"/>
    <w:rsid w:val="00FE3D34"/>
    <w:rsid w:val="00FF272A"/>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9" w:qFormat="1"/>
    <w:lsdException w:name="heading 3" w:locked="1" w:uiPriority="9"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locked="1" w:uiPriority="0" w:qFormat="1"/>
    <w:lsdException w:name="footer" w:locked="1"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7669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E074E6"/>
    <w:pPr>
      <w:keepNext/>
      <w:spacing w:before="240" w:after="240"/>
      <w:ind w:left="851" w:hanging="851"/>
      <w:outlineLvl w:val="2"/>
    </w:pPr>
    <w:rPr>
      <w:rFonts w:eastAsia="Arial Unicode MS" w:cstheme="majorBidi"/>
      <w:b/>
      <w:bCs/>
      <w:lang w:val="en-AU"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E074E6"/>
    <w:rPr>
      <w:rFonts w:eastAsia="Arial Unicode MS" w:cstheme="majorBidi"/>
      <w:b/>
      <w:bCs/>
      <w:szCs w:val="24"/>
      <w:lang w:eastAsia="en-AU" w:bidi="en-US"/>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776696"/>
    <w:rPr>
      <w:rFonts w:ascii="Arial" w:hAnsi="Arial"/>
      <w:color w:val="3333FF"/>
      <w:u w:val="single"/>
    </w:rPr>
  </w:style>
  <w:style w:type="character" w:styleId="FootnoteReference">
    <w:name w:val="footnote reference"/>
    <w:basedOn w:val="DefaultParagraphFont"/>
    <w:rsid w:val="00776696"/>
    <w:rPr>
      <w:vertAlign w:val="superscript"/>
    </w:rPr>
  </w:style>
  <w:style w:type="paragraph" w:customStyle="1" w:styleId="FSBullet">
    <w:name w:val="FS Bullet"/>
    <w:basedOn w:val="Normal"/>
    <w:next w:val="Normal"/>
    <w:link w:val="FSBulletChar"/>
    <w:qFormat/>
    <w:rsid w:val="00776696"/>
    <w:pPr>
      <w:numPr>
        <w:numId w:val="14"/>
      </w:numPr>
    </w:pPr>
    <w:rPr>
      <w:rFonts w:cs="Arial"/>
    </w:rPr>
  </w:style>
  <w:style w:type="character" w:customStyle="1" w:styleId="FSBulletChar">
    <w:name w:val="FS Bullet Char"/>
    <w:basedOn w:val="DefaultParagraphFont"/>
    <w:link w:val="FSBullet"/>
    <w:rsid w:val="00776696"/>
    <w:rPr>
      <w:rFonts w:eastAsia="Times New Roman"/>
      <w:szCs w:val="24"/>
      <w:lang w:val="en-GB" w:bidi="en-US"/>
    </w:rPr>
  </w:style>
  <w:style w:type="character" w:styleId="CommentReference">
    <w:name w:val="annotation reference"/>
    <w:basedOn w:val="DefaultParagraphFont"/>
    <w:unhideWhenUsed/>
    <w:rsid w:val="00776696"/>
    <w:rPr>
      <w:sz w:val="16"/>
      <w:szCs w:val="16"/>
    </w:rPr>
  </w:style>
  <w:style w:type="paragraph" w:styleId="CommentText">
    <w:name w:val="annotation text"/>
    <w:basedOn w:val="Normal"/>
    <w:link w:val="CommentTextChar"/>
    <w:unhideWhenUsed/>
    <w:rsid w:val="00776696"/>
    <w:rPr>
      <w:sz w:val="20"/>
      <w:szCs w:val="20"/>
    </w:rPr>
  </w:style>
  <w:style w:type="character" w:customStyle="1" w:styleId="CommentTextChar">
    <w:name w:val="Comment Text Char"/>
    <w:basedOn w:val="DefaultParagraphFont"/>
    <w:link w:val="CommentText"/>
    <w:rsid w:val="0077669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776696"/>
    <w:rPr>
      <w:b/>
      <w:bCs/>
    </w:rPr>
  </w:style>
  <w:style w:type="character" w:customStyle="1" w:styleId="CommentSubjectChar">
    <w:name w:val="Comment Subject Char"/>
    <w:basedOn w:val="CommentTextChar"/>
    <w:link w:val="CommentSubject"/>
    <w:uiPriority w:val="99"/>
    <w:semiHidden/>
    <w:rsid w:val="00776696"/>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776696"/>
    <w:rPr>
      <w:rFonts w:ascii="Tahoma" w:hAnsi="Tahoma" w:cs="Tahoma"/>
      <w:sz w:val="16"/>
      <w:szCs w:val="16"/>
    </w:rPr>
  </w:style>
  <w:style w:type="character" w:customStyle="1" w:styleId="BalloonTextChar">
    <w:name w:val="Balloon Text Char"/>
    <w:basedOn w:val="DefaultParagraphFont"/>
    <w:link w:val="BalloonText"/>
    <w:uiPriority w:val="99"/>
    <w:semiHidden/>
    <w:rsid w:val="00776696"/>
    <w:rPr>
      <w:rFonts w:ascii="Tahoma" w:eastAsia="Times New Roman" w:hAnsi="Tahoma" w:cs="Tahoma"/>
      <w:sz w:val="16"/>
      <w:szCs w:val="16"/>
      <w:lang w:val="en-GB" w:bidi="en-US"/>
    </w:rPr>
  </w:style>
  <w:style w:type="paragraph" w:styleId="NormalWeb">
    <w:name w:val="Normal (Web)"/>
    <w:basedOn w:val="Normal"/>
    <w:uiPriority w:val="99"/>
    <w:unhideWhenUsed/>
    <w:rsid w:val="00A22608"/>
    <w:pPr>
      <w:widowControl/>
      <w:spacing w:before="100" w:beforeAutospacing="1" w:after="100" w:afterAutospacing="1"/>
    </w:pPr>
    <w:rPr>
      <w:rFonts w:ascii="Times New Roman" w:hAnsi="Times New Roman"/>
      <w:sz w:val="24"/>
      <w:lang w:eastAsia="en-GB" w:bidi="ar-SA"/>
    </w:rPr>
  </w:style>
  <w:style w:type="table" w:styleId="TableGrid">
    <w:name w:val="Table Grid"/>
    <w:basedOn w:val="TableNormal"/>
    <w:rsid w:val="00E074E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E074E6"/>
    <w:rPr>
      <w:color w:val="800080" w:themeColor="followedHyperlink"/>
      <w:u w:val="single"/>
    </w:rPr>
  </w:style>
  <w:style w:type="paragraph" w:styleId="TOC2">
    <w:name w:val="toc 2"/>
    <w:basedOn w:val="Normal"/>
    <w:next w:val="Normal"/>
    <w:autoRedefine/>
    <w:uiPriority w:val="39"/>
    <w:unhideWhenUsed/>
    <w:rsid w:val="004C1EDE"/>
    <w:pPr>
      <w:tabs>
        <w:tab w:val="left" w:pos="567"/>
        <w:tab w:val="right" w:leader="dot" w:pos="9060"/>
      </w:tabs>
      <w:spacing w:after="100"/>
      <w:ind w:left="567" w:right="567" w:hanging="567"/>
    </w:pPr>
    <w:rPr>
      <w:smallCaps/>
    </w:rPr>
  </w:style>
  <w:style w:type="paragraph" w:styleId="TOC3">
    <w:name w:val="toc 3"/>
    <w:basedOn w:val="Normal"/>
    <w:next w:val="Normal"/>
    <w:autoRedefine/>
    <w:uiPriority w:val="39"/>
    <w:unhideWhenUsed/>
    <w:rsid w:val="004C1EDE"/>
    <w:pPr>
      <w:tabs>
        <w:tab w:val="left" w:pos="1100"/>
        <w:tab w:val="right" w:leader="dot" w:pos="9060"/>
      </w:tabs>
      <w:spacing w:after="100"/>
      <w:ind w:left="567" w:right="567"/>
    </w:pPr>
    <w:rPr>
      <w:sz w:val="20"/>
    </w:rPr>
  </w:style>
  <w:style w:type="paragraph" w:styleId="TOC1">
    <w:name w:val="toc 1"/>
    <w:basedOn w:val="Normal"/>
    <w:next w:val="Normal"/>
    <w:autoRedefine/>
    <w:uiPriority w:val="39"/>
    <w:unhideWhenUsed/>
    <w:rsid w:val="00F51D3A"/>
    <w:pPr>
      <w:spacing w:after="100"/>
    </w:pPr>
  </w:style>
  <w:style w:type="paragraph" w:customStyle="1" w:styleId="FSTitle">
    <w:name w:val="FS Title"/>
    <w:basedOn w:val="Normal"/>
    <w:qFormat/>
    <w:rsid w:val="00F06857"/>
    <w:rPr>
      <w:rFonts w:cs="Tahoma"/>
      <w:bCs/>
      <w:sz w:val="32"/>
    </w:rPr>
  </w:style>
  <w:style w:type="paragraph" w:customStyle="1" w:styleId="ms-rteelement-h1b">
    <w:name w:val="ms-rteelement-h1b"/>
    <w:basedOn w:val="Normal"/>
    <w:rsid w:val="008F1A07"/>
    <w:pPr>
      <w:widowControl/>
      <w:spacing w:before="100" w:beforeAutospacing="1" w:after="100" w:afterAutospacing="1"/>
    </w:pPr>
    <w:rPr>
      <w:rFonts w:ascii="Times New Roman" w:hAnsi="Times New Roman"/>
      <w:color w:val="0072BC"/>
      <w:sz w:val="48"/>
      <w:szCs w:val="48"/>
      <w:lang w:val="en-AU" w:eastAsia="en-AU" w:bidi="ar-SA"/>
    </w:rPr>
  </w:style>
  <w:style w:type="character" w:customStyle="1" w:styleId="ms-rtefontsize-21">
    <w:name w:val="ms-rtefontsize-21"/>
    <w:basedOn w:val="DefaultParagraphFont"/>
    <w:rsid w:val="008F1A07"/>
    <w:rPr>
      <w:sz w:val="20"/>
      <w:szCs w:val="20"/>
    </w:rPr>
  </w:style>
  <w:style w:type="character" w:styleId="Emphasis">
    <w:name w:val="Emphasis"/>
    <w:basedOn w:val="DefaultParagraphFont"/>
    <w:uiPriority w:val="20"/>
    <w:qFormat/>
    <w:rsid w:val="008F1A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9" w:qFormat="1"/>
    <w:lsdException w:name="heading 3" w:locked="1" w:uiPriority="9"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locked="1" w:uiPriority="0" w:qFormat="1"/>
    <w:lsdException w:name="footer" w:locked="1"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7669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E074E6"/>
    <w:pPr>
      <w:keepNext/>
      <w:spacing w:before="240" w:after="240"/>
      <w:ind w:left="851" w:hanging="851"/>
      <w:outlineLvl w:val="2"/>
    </w:pPr>
    <w:rPr>
      <w:rFonts w:eastAsia="Arial Unicode MS" w:cstheme="majorBidi"/>
      <w:b/>
      <w:bCs/>
      <w:lang w:val="en-AU"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E074E6"/>
    <w:rPr>
      <w:rFonts w:eastAsia="Arial Unicode MS" w:cstheme="majorBidi"/>
      <w:b/>
      <w:bCs/>
      <w:szCs w:val="24"/>
      <w:lang w:eastAsia="en-AU" w:bidi="en-US"/>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776696"/>
    <w:rPr>
      <w:rFonts w:ascii="Arial" w:hAnsi="Arial"/>
      <w:color w:val="3333FF"/>
      <w:u w:val="single"/>
    </w:rPr>
  </w:style>
  <w:style w:type="character" w:styleId="FootnoteReference">
    <w:name w:val="footnote reference"/>
    <w:basedOn w:val="DefaultParagraphFont"/>
    <w:rsid w:val="00776696"/>
    <w:rPr>
      <w:vertAlign w:val="superscript"/>
    </w:rPr>
  </w:style>
  <w:style w:type="paragraph" w:customStyle="1" w:styleId="FSBullet">
    <w:name w:val="FS Bullet"/>
    <w:basedOn w:val="Normal"/>
    <w:next w:val="Normal"/>
    <w:link w:val="FSBulletChar"/>
    <w:qFormat/>
    <w:rsid w:val="00776696"/>
    <w:pPr>
      <w:numPr>
        <w:numId w:val="14"/>
      </w:numPr>
    </w:pPr>
    <w:rPr>
      <w:rFonts w:cs="Arial"/>
    </w:rPr>
  </w:style>
  <w:style w:type="character" w:customStyle="1" w:styleId="FSBulletChar">
    <w:name w:val="FS Bullet Char"/>
    <w:basedOn w:val="DefaultParagraphFont"/>
    <w:link w:val="FSBullet"/>
    <w:rsid w:val="00776696"/>
    <w:rPr>
      <w:rFonts w:eastAsia="Times New Roman"/>
      <w:szCs w:val="24"/>
      <w:lang w:val="en-GB" w:bidi="en-US"/>
    </w:rPr>
  </w:style>
  <w:style w:type="character" w:styleId="CommentReference">
    <w:name w:val="annotation reference"/>
    <w:basedOn w:val="DefaultParagraphFont"/>
    <w:unhideWhenUsed/>
    <w:rsid w:val="00776696"/>
    <w:rPr>
      <w:sz w:val="16"/>
      <w:szCs w:val="16"/>
    </w:rPr>
  </w:style>
  <w:style w:type="paragraph" w:styleId="CommentText">
    <w:name w:val="annotation text"/>
    <w:basedOn w:val="Normal"/>
    <w:link w:val="CommentTextChar"/>
    <w:unhideWhenUsed/>
    <w:rsid w:val="00776696"/>
    <w:rPr>
      <w:sz w:val="20"/>
      <w:szCs w:val="20"/>
    </w:rPr>
  </w:style>
  <w:style w:type="character" w:customStyle="1" w:styleId="CommentTextChar">
    <w:name w:val="Comment Text Char"/>
    <w:basedOn w:val="DefaultParagraphFont"/>
    <w:link w:val="CommentText"/>
    <w:rsid w:val="0077669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776696"/>
    <w:rPr>
      <w:b/>
      <w:bCs/>
    </w:rPr>
  </w:style>
  <w:style w:type="character" w:customStyle="1" w:styleId="CommentSubjectChar">
    <w:name w:val="Comment Subject Char"/>
    <w:basedOn w:val="CommentTextChar"/>
    <w:link w:val="CommentSubject"/>
    <w:uiPriority w:val="99"/>
    <w:semiHidden/>
    <w:rsid w:val="00776696"/>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776696"/>
    <w:rPr>
      <w:rFonts w:ascii="Tahoma" w:hAnsi="Tahoma" w:cs="Tahoma"/>
      <w:sz w:val="16"/>
      <w:szCs w:val="16"/>
    </w:rPr>
  </w:style>
  <w:style w:type="character" w:customStyle="1" w:styleId="BalloonTextChar">
    <w:name w:val="Balloon Text Char"/>
    <w:basedOn w:val="DefaultParagraphFont"/>
    <w:link w:val="BalloonText"/>
    <w:uiPriority w:val="99"/>
    <w:semiHidden/>
    <w:rsid w:val="00776696"/>
    <w:rPr>
      <w:rFonts w:ascii="Tahoma" w:eastAsia="Times New Roman" w:hAnsi="Tahoma" w:cs="Tahoma"/>
      <w:sz w:val="16"/>
      <w:szCs w:val="16"/>
      <w:lang w:val="en-GB" w:bidi="en-US"/>
    </w:rPr>
  </w:style>
  <w:style w:type="paragraph" w:styleId="NormalWeb">
    <w:name w:val="Normal (Web)"/>
    <w:basedOn w:val="Normal"/>
    <w:uiPriority w:val="99"/>
    <w:unhideWhenUsed/>
    <w:rsid w:val="00A22608"/>
    <w:pPr>
      <w:widowControl/>
      <w:spacing w:before="100" w:beforeAutospacing="1" w:after="100" w:afterAutospacing="1"/>
    </w:pPr>
    <w:rPr>
      <w:rFonts w:ascii="Times New Roman" w:hAnsi="Times New Roman"/>
      <w:sz w:val="24"/>
      <w:lang w:eastAsia="en-GB" w:bidi="ar-SA"/>
    </w:rPr>
  </w:style>
  <w:style w:type="table" w:styleId="TableGrid">
    <w:name w:val="Table Grid"/>
    <w:basedOn w:val="TableNormal"/>
    <w:rsid w:val="00E074E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E074E6"/>
    <w:rPr>
      <w:color w:val="800080" w:themeColor="followedHyperlink"/>
      <w:u w:val="single"/>
    </w:rPr>
  </w:style>
  <w:style w:type="paragraph" w:styleId="TOC2">
    <w:name w:val="toc 2"/>
    <w:basedOn w:val="Normal"/>
    <w:next w:val="Normal"/>
    <w:autoRedefine/>
    <w:uiPriority w:val="39"/>
    <w:unhideWhenUsed/>
    <w:rsid w:val="004C1EDE"/>
    <w:pPr>
      <w:tabs>
        <w:tab w:val="left" w:pos="567"/>
        <w:tab w:val="right" w:leader="dot" w:pos="9060"/>
      </w:tabs>
      <w:spacing w:after="100"/>
      <w:ind w:left="567" w:right="567" w:hanging="567"/>
    </w:pPr>
    <w:rPr>
      <w:smallCaps/>
    </w:rPr>
  </w:style>
  <w:style w:type="paragraph" w:styleId="TOC3">
    <w:name w:val="toc 3"/>
    <w:basedOn w:val="Normal"/>
    <w:next w:val="Normal"/>
    <w:autoRedefine/>
    <w:uiPriority w:val="39"/>
    <w:unhideWhenUsed/>
    <w:rsid w:val="004C1EDE"/>
    <w:pPr>
      <w:tabs>
        <w:tab w:val="left" w:pos="1100"/>
        <w:tab w:val="right" w:leader="dot" w:pos="9060"/>
      </w:tabs>
      <w:spacing w:after="100"/>
      <w:ind w:left="567" w:right="567"/>
    </w:pPr>
    <w:rPr>
      <w:sz w:val="20"/>
    </w:rPr>
  </w:style>
  <w:style w:type="paragraph" w:styleId="TOC1">
    <w:name w:val="toc 1"/>
    <w:basedOn w:val="Normal"/>
    <w:next w:val="Normal"/>
    <w:autoRedefine/>
    <w:uiPriority w:val="39"/>
    <w:unhideWhenUsed/>
    <w:rsid w:val="00F51D3A"/>
    <w:pPr>
      <w:spacing w:after="100"/>
    </w:pPr>
  </w:style>
  <w:style w:type="paragraph" w:customStyle="1" w:styleId="FSTitle">
    <w:name w:val="FS Title"/>
    <w:basedOn w:val="Normal"/>
    <w:qFormat/>
    <w:rsid w:val="00F06857"/>
    <w:rPr>
      <w:rFonts w:cs="Tahoma"/>
      <w:bCs/>
      <w:sz w:val="32"/>
    </w:rPr>
  </w:style>
  <w:style w:type="paragraph" w:customStyle="1" w:styleId="ms-rteelement-h1b">
    <w:name w:val="ms-rteelement-h1b"/>
    <w:basedOn w:val="Normal"/>
    <w:rsid w:val="008F1A07"/>
    <w:pPr>
      <w:widowControl/>
      <w:spacing w:before="100" w:beforeAutospacing="1" w:after="100" w:afterAutospacing="1"/>
    </w:pPr>
    <w:rPr>
      <w:rFonts w:ascii="Times New Roman" w:hAnsi="Times New Roman"/>
      <w:color w:val="0072BC"/>
      <w:sz w:val="48"/>
      <w:szCs w:val="48"/>
      <w:lang w:val="en-AU" w:eastAsia="en-AU" w:bidi="ar-SA"/>
    </w:rPr>
  </w:style>
  <w:style w:type="character" w:customStyle="1" w:styleId="ms-rtefontsize-21">
    <w:name w:val="ms-rtefontsize-21"/>
    <w:basedOn w:val="DefaultParagraphFont"/>
    <w:rsid w:val="008F1A07"/>
    <w:rPr>
      <w:sz w:val="20"/>
      <w:szCs w:val="20"/>
    </w:rPr>
  </w:style>
  <w:style w:type="character" w:styleId="Emphasis">
    <w:name w:val="Emphasis"/>
    <w:basedOn w:val="DefaultParagraphFont"/>
    <w:uiPriority w:val="20"/>
    <w:qFormat/>
    <w:rsid w:val="008F1A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833">
      <w:bodyDiv w:val="1"/>
      <w:marLeft w:val="0"/>
      <w:marRight w:val="0"/>
      <w:marTop w:val="0"/>
      <w:marBottom w:val="0"/>
      <w:divBdr>
        <w:top w:val="none" w:sz="0" w:space="0" w:color="auto"/>
        <w:left w:val="none" w:sz="0" w:space="0" w:color="auto"/>
        <w:bottom w:val="none" w:sz="0" w:space="0" w:color="auto"/>
        <w:right w:val="none" w:sz="0" w:space="0" w:color="auto"/>
      </w:divBdr>
    </w:div>
    <w:div w:id="733550209">
      <w:bodyDiv w:val="1"/>
      <w:marLeft w:val="0"/>
      <w:marRight w:val="0"/>
      <w:marTop w:val="0"/>
      <w:marBottom w:val="0"/>
      <w:divBdr>
        <w:top w:val="none" w:sz="0" w:space="0" w:color="auto"/>
        <w:left w:val="none" w:sz="0" w:space="0" w:color="auto"/>
        <w:bottom w:val="none" w:sz="0" w:space="0" w:color="auto"/>
        <w:right w:val="none" w:sz="0" w:space="0" w:color="auto"/>
      </w:divBdr>
    </w:div>
    <w:div w:id="836532430">
      <w:bodyDiv w:val="1"/>
      <w:marLeft w:val="0"/>
      <w:marRight w:val="0"/>
      <w:marTop w:val="0"/>
      <w:marBottom w:val="0"/>
      <w:divBdr>
        <w:top w:val="none" w:sz="0" w:space="0" w:color="auto"/>
        <w:left w:val="none" w:sz="0" w:space="0" w:color="auto"/>
        <w:bottom w:val="none" w:sz="0" w:space="0" w:color="auto"/>
        <w:right w:val="none" w:sz="0" w:space="0" w:color="auto"/>
      </w:divBdr>
    </w:div>
    <w:div w:id="953750583">
      <w:bodyDiv w:val="1"/>
      <w:marLeft w:val="0"/>
      <w:marRight w:val="0"/>
      <w:marTop w:val="0"/>
      <w:marBottom w:val="0"/>
      <w:divBdr>
        <w:top w:val="none" w:sz="0" w:space="0" w:color="auto"/>
        <w:left w:val="none" w:sz="0" w:space="0" w:color="auto"/>
        <w:bottom w:val="none" w:sz="0" w:space="0" w:color="auto"/>
        <w:right w:val="none" w:sz="0" w:space="0" w:color="auto"/>
      </w:divBdr>
    </w:div>
    <w:div w:id="19458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organic-center.org/science.safety.php?action=view&amp;report_id=92" TargetMode="External"/><Relationship Id="rId3" Type="http://schemas.openxmlformats.org/officeDocument/2006/relationships/customXml" Target="../customXml/item3.xml"/><Relationship Id="rId21" Type="http://schemas.openxmlformats.org/officeDocument/2006/relationships/chart" Target="charts/chart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foodlabellingreview.gov.au/internet/foodlabelling/publishing.nsf/Content/hom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daf.qld.gov.au/__data/assets/pdf_file/0008/69578/ICA-55.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codexalimentarius.net/download/standards/18/CXP_019e.pdf" TargetMode="External"/><Relationship Id="rId28" Type="http://schemas.openxmlformats.org/officeDocument/2006/relationships/hyperlink" Target="https://www.mpi.govt.nz/law-and-policy/requirements/import-health-standards/" TargetMode="Externa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astm.org/Standards/F1355.htm" TargetMode="External"/><Relationship Id="rId27" Type="http://schemas.openxmlformats.org/officeDocument/2006/relationships/hyperlink" Target="http://www.fao.org/3/a-a0450e.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dexalimentarius.net/download/standards/16/CXS_106e.pdf" TargetMode="External"/><Relationship Id="rId3" Type="http://schemas.openxmlformats.org/officeDocument/2006/relationships/hyperlink" Target="http://www.foodstandards.gov.au/code/applications/Pages/applicationa1038irra4655.aspx" TargetMode="External"/><Relationship Id="rId7" Type="http://schemas.openxmlformats.org/officeDocument/2006/relationships/hyperlink" Target="http://www.foodstandards.gov.au/publications/Pages/Nutritional-impact-of-phytosanitary-irradiation-of-fruits-and-vegetables.aspx" TargetMode="External"/><Relationship Id="rId2" Type="http://schemas.openxmlformats.org/officeDocument/2006/relationships/hyperlink" Target="http://www.foodstandards.gov.au/code/applications/pages/applicationa443irradiationoftropicalfruit/a443farexecsummary.aspx" TargetMode="External"/><Relationship Id="rId1" Type="http://schemas.openxmlformats.org/officeDocument/2006/relationships/hyperlink" Target="http://www.foodstandards.gov.au/code/applications/Pages/applicationa413irradiationofherbsandspices/Default.aspx" TargetMode="External"/><Relationship Id="rId6" Type="http://schemas.openxmlformats.org/officeDocument/2006/relationships/hyperlink" Target="http://www.foodstandards.gov.au/code/applications/Pages/A1115IrradiationBlueberriesandRaspberries.aspx" TargetMode="External"/><Relationship Id="rId5" Type="http://schemas.openxmlformats.org/officeDocument/2006/relationships/hyperlink" Target="http://www.foodstandards.gov.au/code/applications/Pages/A1092-Irradiation.aspx" TargetMode="External"/><Relationship Id="rId4" Type="http://schemas.openxmlformats.org/officeDocument/2006/relationships/hyperlink" Target="http://www.foodstandards.gov.au/code/applications/Pages/applicationa1069irra5511.asp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630192777627"/>
          <c:y val="0.12578326791719843"/>
          <c:w val="0.75029777404306675"/>
          <c:h val="0.63183523236068284"/>
        </c:manualLayout>
      </c:layout>
      <c:barChart>
        <c:barDir val="col"/>
        <c:grouping val="clustered"/>
        <c:varyColors val="0"/>
        <c:ser>
          <c:idx val="0"/>
          <c:order val="0"/>
          <c:tx>
            <c:strRef>
              <c:f>Sheet1!$Q$3</c:f>
              <c:strCache>
                <c:ptCount val="1"/>
                <c:pt idx="0">
                  <c:v>Mangoes</c:v>
                </c:pt>
              </c:strCache>
            </c:strRef>
          </c:tx>
          <c:spPr>
            <a:solidFill>
              <a:schemeClr val="accent6">
                <a:lumMod val="75000"/>
              </a:schemeClr>
            </a:solidFill>
          </c:spPr>
          <c:invertIfNegative val="0"/>
          <c:dLbls>
            <c:dLbl>
              <c:idx val="0"/>
              <c:layout>
                <c:manualLayout>
                  <c:x val="0"/>
                  <c:y val="6.42909072985595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299200276021835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8266157324394461E-3"/>
                  <c:y val="9.558981183690067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baseline="0">
                    <a:solidFill>
                      <a:schemeClr val="tx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Sheet1!$R$1:$V$2</c:f>
              <c:strCache>
                <c:ptCount val="5"/>
                <c:pt idx="0">
                  <c:v>2011-12</c:v>
                </c:pt>
                <c:pt idx="1">
                  <c:v>2012-13</c:v>
                </c:pt>
                <c:pt idx="2">
                  <c:v>2013-14</c:v>
                </c:pt>
                <c:pt idx="3">
                  <c:v>2014-15</c:v>
                </c:pt>
                <c:pt idx="4">
                  <c:v>2015-16</c:v>
                </c:pt>
              </c:strCache>
            </c:strRef>
          </c:cat>
          <c:val>
            <c:numRef>
              <c:f>Sheet1!$R$3:$V$3</c:f>
              <c:numCache>
                <c:formatCode>General</c:formatCode>
                <c:ptCount val="5"/>
                <c:pt idx="0">
                  <c:v>18</c:v>
                </c:pt>
                <c:pt idx="1">
                  <c:v>28</c:v>
                </c:pt>
                <c:pt idx="2">
                  <c:v>28</c:v>
                </c:pt>
              </c:numCache>
            </c:numRef>
          </c:val>
          <c:extLst/>
        </c:ser>
        <c:ser>
          <c:idx val="1"/>
          <c:order val="1"/>
          <c:tx>
            <c:strRef>
              <c:f>Sheet1!$Q$4</c:f>
              <c:strCache>
                <c:ptCount val="1"/>
                <c:pt idx="0">
                  <c:v>Capsicums</c:v>
                </c:pt>
              </c:strCache>
            </c:strRef>
          </c:tx>
          <c:spPr>
            <a:solidFill>
              <a:schemeClr val="accent3">
                <a:lumMod val="75000"/>
              </a:schemeClr>
            </a:solidFill>
          </c:spPr>
          <c:invertIfNegative val="0"/>
          <c:dLbls>
            <c:dLbl>
              <c:idx val="2"/>
              <c:layout>
                <c:manualLayout>
                  <c:x val="0"/>
                  <c:y val="9.558981183690067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baseline="0">
                    <a:solidFill>
                      <a:schemeClr val="tx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Sheet1!$R$1:$V$2</c:f>
              <c:strCache>
                <c:ptCount val="5"/>
                <c:pt idx="0">
                  <c:v>2011-12</c:v>
                </c:pt>
                <c:pt idx="1">
                  <c:v>2012-13</c:v>
                </c:pt>
                <c:pt idx="2">
                  <c:v>2013-14</c:v>
                </c:pt>
                <c:pt idx="3">
                  <c:v>2014-15</c:v>
                </c:pt>
                <c:pt idx="4">
                  <c:v>2015-16</c:v>
                </c:pt>
              </c:strCache>
            </c:strRef>
          </c:cat>
          <c:val>
            <c:numRef>
              <c:f>Sheet1!$R$4:$V$4</c:f>
              <c:numCache>
                <c:formatCode>General</c:formatCode>
                <c:ptCount val="5"/>
                <c:pt idx="2">
                  <c:v>32</c:v>
                </c:pt>
                <c:pt idx="3">
                  <c:v>14</c:v>
                </c:pt>
                <c:pt idx="4">
                  <c:v>10</c:v>
                </c:pt>
              </c:numCache>
            </c:numRef>
          </c:val>
          <c:extLst/>
        </c:ser>
        <c:ser>
          <c:idx val="2"/>
          <c:order val="2"/>
          <c:tx>
            <c:strRef>
              <c:f>Sheet1!$Q$5</c:f>
              <c:strCache>
                <c:ptCount val="1"/>
                <c:pt idx="0">
                  <c:v>Tomatoes</c:v>
                </c:pt>
              </c:strCache>
            </c:strRef>
          </c:tx>
          <c:spPr>
            <a:solidFill>
              <a:srgbClr val="FF0000"/>
            </a:solidFill>
          </c:spPr>
          <c:invertIfNegative val="0"/>
          <c:dLbls>
            <c:dLbl>
              <c:idx val="2"/>
              <c:layout>
                <c:manualLayout>
                  <c:x val="-1.7383746197306158E-3"/>
                  <c:y val="3.277266398038273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501650165016502E-3"/>
                  <c:y val="9.389671361502347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baseline="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Sheet1!$R$1:$V$2</c:f>
              <c:strCache>
                <c:ptCount val="5"/>
                <c:pt idx="0">
                  <c:v>2011-12</c:v>
                </c:pt>
                <c:pt idx="1">
                  <c:v>2012-13</c:v>
                </c:pt>
                <c:pt idx="2">
                  <c:v>2013-14</c:v>
                </c:pt>
                <c:pt idx="3">
                  <c:v>2014-15</c:v>
                </c:pt>
                <c:pt idx="4">
                  <c:v>2015-16</c:v>
                </c:pt>
              </c:strCache>
            </c:strRef>
          </c:cat>
          <c:val>
            <c:numRef>
              <c:f>Sheet1!$R$5:$V$5</c:f>
              <c:numCache>
                <c:formatCode>General</c:formatCode>
                <c:ptCount val="5"/>
                <c:pt idx="2">
                  <c:v>4</c:v>
                </c:pt>
                <c:pt idx="3">
                  <c:v>8</c:v>
                </c:pt>
                <c:pt idx="4">
                  <c:v>1</c:v>
                </c:pt>
              </c:numCache>
            </c:numRef>
          </c:val>
          <c:extLst/>
        </c:ser>
        <c:ser>
          <c:idx val="3"/>
          <c:order val="3"/>
          <c:tx>
            <c:strRef>
              <c:f>Sheet1!$Q$6</c:f>
              <c:strCache>
                <c:ptCount val="1"/>
                <c:pt idx="0">
                  <c:v>Plums</c:v>
                </c:pt>
              </c:strCache>
            </c:strRef>
          </c:tx>
          <c:invertIfNegative val="0"/>
          <c:dLbls>
            <c:dLbl>
              <c:idx val="4"/>
              <c:layout>
                <c:manualLayout>
                  <c:x val="-1.6501650165017712E-3"/>
                  <c:y val="1.56494522691705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baseline="0">
                    <a:solidFill>
                      <a:schemeClr val="tx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Sheet1!$R$1:$V$2</c:f>
              <c:strCache>
                <c:ptCount val="5"/>
                <c:pt idx="0">
                  <c:v>2011-12</c:v>
                </c:pt>
                <c:pt idx="1">
                  <c:v>2012-13</c:v>
                </c:pt>
                <c:pt idx="2">
                  <c:v>2013-14</c:v>
                </c:pt>
                <c:pt idx="3">
                  <c:v>2014-15</c:v>
                </c:pt>
                <c:pt idx="4">
                  <c:v>2015-16</c:v>
                </c:pt>
              </c:strCache>
            </c:strRef>
          </c:cat>
          <c:val>
            <c:numRef>
              <c:f>Sheet1!$R$6:$V$6</c:f>
              <c:numCache>
                <c:formatCode>General</c:formatCode>
                <c:ptCount val="5"/>
                <c:pt idx="4">
                  <c:v>23</c:v>
                </c:pt>
              </c:numCache>
            </c:numRef>
          </c:val>
          <c:extLst/>
        </c:ser>
        <c:dLbls>
          <c:showLegendKey val="0"/>
          <c:showVal val="0"/>
          <c:showCatName val="0"/>
          <c:showSerName val="0"/>
          <c:showPercent val="0"/>
          <c:showBubbleSize val="0"/>
        </c:dLbls>
        <c:gapWidth val="150"/>
        <c:axId val="121957760"/>
        <c:axId val="125412480"/>
      </c:barChart>
      <c:catAx>
        <c:axId val="121957760"/>
        <c:scaling>
          <c:orientation val="minMax"/>
        </c:scaling>
        <c:delete val="0"/>
        <c:axPos val="b"/>
        <c:numFmt formatCode="General" sourceLinked="0"/>
        <c:majorTickMark val="out"/>
        <c:minorTickMark val="none"/>
        <c:tickLblPos val="nextTo"/>
        <c:spPr>
          <a:ln>
            <a:solidFill>
              <a:sysClr val="windowText" lastClr="000000"/>
            </a:solidFill>
          </a:ln>
        </c:spPr>
        <c:txPr>
          <a:bodyPr/>
          <a:lstStyle/>
          <a:p>
            <a:pPr>
              <a:defRPr b="1" baseline="0">
                <a:solidFill>
                  <a:sysClr val="windowText" lastClr="000000"/>
                </a:solidFill>
              </a:defRPr>
            </a:pPr>
            <a:endParaRPr lang="en-US"/>
          </a:p>
        </c:txPr>
        <c:crossAx val="125412480"/>
        <c:crosses val="autoZero"/>
        <c:auto val="1"/>
        <c:lblAlgn val="ctr"/>
        <c:lblOffset val="100"/>
        <c:noMultiLvlLbl val="0"/>
      </c:catAx>
      <c:valAx>
        <c:axId val="125412480"/>
        <c:scaling>
          <c:orientation val="minMax"/>
        </c:scaling>
        <c:delete val="0"/>
        <c:axPos val="l"/>
        <c:majorGridlines>
          <c:spPr>
            <a:ln>
              <a:solidFill>
                <a:sysClr val="windowText" lastClr="000000"/>
              </a:solidFill>
            </a:ln>
          </c:spPr>
        </c:majorGridlines>
        <c:title>
          <c:tx>
            <c:rich>
              <a:bodyPr rot="-5400000" vert="horz"/>
              <a:lstStyle/>
              <a:p>
                <a:pPr>
                  <a:defRPr sz="1100" b="1" baseline="0">
                    <a:solidFill>
                      <a:sysClr val="windowText" lastClr="000000"/>
                    </a:solidFill>
                  </a:defRPr>
                </a:pPr>
                <a:r>
                  <a:rPr lang="en-AU" sz="1100" b="1" baseline="0">
                    <a:solidFill>
                      <a:sysClr val="windowText" lastClr="000000"/>
                    </a:solidFill>
                  </a:rPr>
                  <a:t>Tonnes</a:t>
                </a:r>
              </a:p>
            </c:rich>
          </c:tx>
          <c:layout>
            <c:manualLayout>
              <c:xMode val="edge"/>
              <c:yMode val="edge"/>
              <c:x val="2.5674663198518497E-2"/>
              <c:y val="0.33053207693300635"/>
            </c:manualLayout>
          </c:layout>
          <c:overlay val="0"/>
        </c:title>
        <c:numFmt formatCode="General" sourceLinked="1"/>
        <c:majorTickMark val="out"/>
        <c:minorTickMark val="none"/>
        <c:tickLblPos val="nextTo"/>
        <c:spPr>
          <a:ln>
            <a:solidFill>
              <a:sysClr val="windowText" lastClr="000000"/>
            </a:solidFill>
          </a:ln>
        </c:spPr>
        <c:txPr>
          <a:bodyPr/>
          <a:lstStyle/>
          <a:p>
            <a:pPr>
              <a:defRPr b="1" baseline="0">
                <a:solidFill>
                  <a:schemeClr val="tx1"/>
                </a:solidFill>
              </a:defRPr>
            </a:pPr>
            <a:endParaRPr lang="en-US"/>
          </a:p>
        </c:txPr>
        <c:crossAx val="121957760"/>
        <c:crosses val="autoZero"/>
        <c:crossBetween val="between"/>
      </c:valAx>
      <c:spPr>
        <a:noFill/>
      </c:spPr>
    </c:plotArea>
    <c:legend>
      <c:legendPos val="r"/>
      <c:layout>
        <c:manualLayout>
          <c:xMode val="edge"/>
          <c:yMode val="edge"/>
          <c:x val="0.86046031955502766"/>
          <c:y val="0.32059515511380748"/>
          <c:w val="0.13953968684948864"/>
          <c:h val="0.37799027580568823"/>
        </c:manualLayout>
      </c:layout>
      <c:overlay val="0"/>
      <c:txPr>
        <a:bodyPr/>
        <a:lstStyle/>
        <a:p>
          <a:pPr>
            <a:defRPr b="1" baseline="0">
              <a:solidFill>
                <a:sysClr val="windowText" lastClr="000000"/>
              </a:solidFill>
            </a:defRPr>
          </a:pPr>
          <a:endParaRPr lang="en-US"/>
        </a:p>
      </c:txPr>
    </c:legend>
    <c:plotVisOnly val="1"/>
    <c:dispBlanksAs val="gap"/>
    <c:showDLblsOverMax val="0"/>
  </c:chart>
  <c:spPr>
    <a:solidFill>
      <a:sysClr val="window" lastClr="FFFFFF"/>
    </a:solidFill>
    <a:ln>
      <a:solidFill>
        <a:sysClr val="windowText" lastClr="000000"/>
      </a:solid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Sheet1!$A$5</c:f>
              <c:strCache>
                <c:ptCount val="1"/>
                <c:pt idx="0">
                  <c:v>Mangoes</c:v>
                </c:pt>
              </c:strCache>
            </c:strRef>
          </c:tx>
          <c:spPr>
            <a:solidFill>
              <a:schemeClr val="accent6">
                <a:lumMod val="75000"/>
              </a:schemeClr>
            </a:solidFill>
          </c:spPr>
          <c:invertIfNegative val="0"/>
          <c:cat>
            <c:strRef>
              <c:f>Sheet1!$B$4:$M$4</c:f>
              <c:strCache>
                <c:ptCount val="12"/>
                <c:pt idx="0">
                  <c:v>2004-05</c:v>
                </c:pt>
                <c:pt idx="1">
                  <c:v>2005-05</c:v>
                </c:pt>
                <c:pt idx="2">
                  <c:v>2006-07</c:v>
                </c:pt>
                <c:pt idx="3">
                  <c:v>2007-08</c:v>
                </c:pt>
                <c:pt idx="4">
                  <c:v>2008-09</c:v>
                </c:pt>
                <c:pt idx="5">
                  <c:v>2009-10</c:v>
                </c:pt>
                <c:pt idx="6">
                  <c:v>2010-11</c:v>
                </c:pt>
                <c:pt idx="7">
                  <c:v>2011-12</c:v>
                </c:pt>
                <c:pt idx="8">
                  <c:v>2012-13</c:v>
                </c:pt>
                <c:pt idx="9">
                  <c:v>2013-14</c:v>
                </c:pt>
                <c:pt idx="10">
                  <c:v>2014-15</c:v>
                </c:pt>
                <c:pt idx="11">
                  <c:v>2015-16</c:v>
                </c:pt>
              </c:strCache>
            </c:strRef>
          </c:cat>
          <c:val>
            <c:numRef>
              <c:f>Sheet1!$B$5:$M$5</c:f>
              <c:numCache>
                <c:formatCode>General</c:formatCode>
                <c:ptCount val="12"/>
                <c:pt idx="0">
                  <c:v>19</c:v>
                </c:pt>
                <c:pt idx="1">
                  <c:v>129</c:v>
                </c:pt>
                <c:pt idx="2">
                  <c:v>201</c:v>
                </c:pt>
                <c:pt idx="3">
                  <c:v>346</c:v>
                </c:pt>
                <c:pt idx="4">
                  <c:v>585</c:v>
                </c:pt>
                <c:pt idx="5">
                  <c:v>1095</c:v>
                </c:pt>
                <c:pt idx="6">
                  <c:v>620</c:v>
                </c:pt>
                <c:pt idx="7">
                  <c:v>918</c:v>
                </c:pt>
                <c:pt idx="8">
                  <c:v>1018</c:v>
                </c:pt>
                <c:pt idx="9">
                  <c:v>866</c:v>
                </c:pt>
                <c:pt idx="10">
                  <c:v>1480</c:v>
                </c:pt>
                <c:pt idx="11">
                  <c:v>1024</c:v>
                </c:pt>
              </c:numCache>
            </c:numRef>
          </c:val>
        </c:ser>
        <c:ser>
          <c:idx val="1"/>
          <c:order val="1"/>
          <c:tx>
            <c:strRef>
              <c:f>Sheet1!$A$6</c:f>
              <c:strCache>
                <c:ptCount val="1"/>
                <c:pt idx="0">
                  <c:v>Litchis</c:v>
                </c:pt>
              </c:strCache>
            </c:strRef>
          </c:tx>
          <c:spPr>
            <a:solidFill>
              <a:srgbClr val="0070C0"/>
            </a:solidFill>
          </c:spPr>
          <c:invertIfNegative val="0"/>
          <c:cat>
            <c:strRef>
              <c:f>Sheet1!$B$4:$M$4</c:f>
              <c:strCache>
                <c:ptCount val="12"/>
                <c:pt idx="0">
                  <c:v>2004-05</c:v>
                </c:pt>
                <c:pt idx="1">
                  <c:v>2005-05</c:v>
                </c:pt>
                <c:pt idx="2">
                  <c:v>2006-07</c:v>
                </c:pt>
                <c:pt idx="3">
                  <c:v>2007-08</c:v>
                </c:pt>
                <c:pt idx="4">
                  <c:v>2008-09</c:v>
                </c:pt>
                <c:pt idx="5">
                  <c:v>2009-10</c:v>
                </c:pt>
                <c:pt idx="6">
                  <c:v>2010-11</c:v>
                </c:pt>
                <c:pt idx="7">
                  <c:v>2011-12</c:v>
                </c:pt>
                <c:pt idx="8">
                  <c:v>2012-13</c:v>
                </c:pt>
                <c:pt idx="9">
                  <c:v>2013-14</c:v>
                </c:pt>
                <c:pt idx="10">
                  <c:v>2014-15</c:v>
                </c:pt>
                <c:pt idx="11">
                  <c:v>2015-16</c:v>
                </c:pt>
              </c:strCache>
            </c:strRef>
          </c:cat>
          <c:val>
            <c:numRef>
              <c:f>Sheet1!$B$6:$M$6</c:f>
              <c:numCache>
                <c:formatCode>General</c:formatCode>
                <c:ptCount val="12"/>
                <c:pt idx="1">
                  <c:v>5</c:v>
                </c:pt>
                <c:pt idx="2">
                  <c:v>10</c:v>
                </c:pt>
                <c:pt idx="3">
                  <c:v>20</c:v>
                </c:pt>
                <c:pt idx="4">
                  <c:v>57</c:v>
                </c:pt>
                <c:pt idx="5">
                  <c:v>110</c:v>
                </c:pt>
                <c:pt idx="6">
                  <c:v>15</c:v>
                </c:pt>
                <c:pt idx="7">
                  <c:v>132</c:v>
                </c:pt>
                <c:pt idx="8">
                  <c:v>76</c:v>
                </c:pt>
                <c:pt idx="9">
                  <c:v>29</c:v>
                </c:pt>
                <c:pt idx="10">
                  <c:v>34</c:v>
                </c:pt>
                <c:pt idx="11">
                  <c:v>64</c:v>
                </c:pt>
              </c:numCache>
            </c:numRef>
          </c:val>
        </c:ser>
        <c:ser>
          <c:idx val="2"/>
          <c:order val="2"/>
          <c:tx>
            <c:strRef>
              <c:f>Sheet1!$A$7</c:f>
              <c:strCache>
                <c:ptCount val="1"/>
                <c:pt idx="0">
                  <c:v>Papaya</c:v>
                </c:pt>
              </c:strCache>
            </c:strRef>
          </c:tx>
          <c:spPr>
            <a:solidFill>
              <a:srgbClr val="4BACC6">
                <a:lumMod val="40000"/>
                <a:lumOff val="60000"/>
              </a:srgbClr>
            </a:solidFill>
          </c:spPr>
          <c:invertIfNegative val="0"/>
          <c:cat>
            <c:strRef>
              <c:f>Sheet1!$B$4:$M$4</c:f>
              <c:strCache>
                <c:ptCount val="12"/>
                <c:pt idx="0">
                  <c:v>2004-05</c:v>
                </c:pt>
                <c:pt idx="1">
                  <c:v>2005-05</c:v>
                </c:pt>
                <c:pt idx="2">
                  <c:v>2006-07</c:v>
                </c:pt>
                <c:pt idx="3">
                  <c:v>2007-08</c:v>
                </c:pt>
                <c:pt idx="4">
                  <c:v>2008-09</c:v>
                </c:pt>
                <c:pt idx="5">
                  <c:v>2009-10</c:v>
                </c:pt>
                <c:pt idx="6">
                  <c:v>2010-11</c:v>
                </c:pt>
                <c:pt idx="7">
                  <c:v>2011-12</c:v>
                </c:pt>
                <c:pt idx="8">
                  <c:v>2012-13</c:v>
                </c:pt>
                <c:pt idx="9">
                  <c:v>2013-14</c:v>
                </c:pt>
                <c:pt idx="10">
                  <c:v>2014-15</c:v>
                </c:pt>
                <c:pt idx="11">
                  <c:v>2015-16</c:v>
                </c:pt>
              </c:strCache>
            </c:strRef>
          </c:cat>
          <c:val>
            <c:numRef>
              <c:f>Sheet1!$B$7:$M$7</c:f>
              <c:numCache>
                <c:formatCode>General</c:formatCode>
                <c:ptCount val="12"/>
                <c:pt idx="7">
                  <c:v>12</c:v>
                </c:pt>
                <c:pt idx="8">
                  <c:v>1</c:v>
                </c:pt>
                <c:pt idx="9">
                  <c:v>22</c:v>
                </c:pt>
                <c:pt idx="10">
                  <c:v>2</c:v>
                </c:pt>
                <c:pt idx="11">
                  <c:v>104</c:v>
                </c:pt>
              </c:numCache>
            </c:numRef>
          </c:val>
        </c:ser>
        <c:ser>
          <c:idx val="3"/>
          <c:order val="3"/>
          <c:tx>
            <c:strRef>
              <c:f>Sheet1!$A$8</c:f>
              <c:strCache>
                <c:ptCount val="1"/>
                <c:pt idx="0">
                  <c:v>Tomatoes</c:v>
                </c:pt>
              </c:strCache>
            </c:strRef>
          </c:tx>
          <c:spPr>
            <a:solidFill>
              <a:srgbClr val="FF0000"/>
            </a:solidFill>
          </c:spPr>
          <c:invertIfNegative val="0"/>
          <c:cat>
            <c:strRef>
              <c:f>Sheet1!$B$4:$M$4</c:f>
              <c:strCache>
                <c:ptCount val="12"/>
                <c:pt idx="0">
                  <c:v>2004-05</c:v>
                </c:pt>
                <c:pt idx="1">
                  <c:v>2005-05</c:v>
                </c:pt>
                <c:pt idx="2">
                  <c:v>2006-07</c:v>
                </c:pt>
                <c:pt idx="3">
                  <c:v>2007-08</c:v>
                </c:pt>
                <c:pt idx="4">
                  <c:v>2008-09</c:v>
                </c:pt>
                <c:pt idx="5">
                  <c:v>2009-10</c:v>
                </c:pt>
                <c:pt idx="6">
                  <c:v>2010-11</c:v>
                </c:pt>
                <c:pt idx="7">
                  <c:v>2011-12</c:v>
                </c:pt>
                <c:pt idx="8">
                  <c:v>2012-13</c:v>
                </c:pt>
                <c:pt idx="9">
                  <c:v>2013-14</c:v>
                </c:pt>
                <c:pt idx="10">
                  <c:v>2014-15</c:v>
                </c:pt>
                <c:pt idx="11">
                  <c:v>2015-16</c:v>
                </c:pt>
              </c:strCache>
            </c:strRef>
          </c:cat>
          <c:val>
            <c:numRef>
              <c:f>Sheet1!$B$8:$M$8</c:f>
              <c:numCache>
                <c:formatCode>General</c:formatCode>
                <c:ptCount val="12"/>
                <c:pt idx="9">
                  <c:v>413</c:v>
                </c:pt>
                <c:pt idx="10">
                  <c:v>346</c:v>
                </c:pt>
                <c:pt idx="11">
                  <c:v>349</c:v>
                </c:pt>
              </c:numCache>
            </c:numRef>
          </c:val>
        </c:ser>
        <c:ser>
          <c:idx val="4"/>
          <c:order val="4"/>
          <c:tx>
            <c:strRef>
              <c:f>Sheet1!$A$9</c:f>
              <c:strCache>
                <c:ptCount val="1"/>
                <c:pt idx="0">
                  <c:v>Capsicums</c:v>
                </c:pt>
              </c:strCache>
            </c:strRef>
          </c:tx>
          <c:spPr>
            <a:solidFill>
              <a:srgbClr val="00B050"/>
            </a:solidFill>
          </c:spPr>
          <c:invertIfNegative val="0"/>
          <c:cat>
            <c:strRef>
              <c:f>Sheet1!$B$4:$M$4</c:f>
              <c:strCache>
                <c:ptCount val="12"/>
                <c:pt idx="0">
                  <c:v>2004-05</c:v>
                </c:pt>
                <c:pt idx="1">
                  <c:v>2005-05</c:v>
                </c:pt>
                <c:pt idx="2">
                  <c:v>2006-07</c:v>
                </c:pt>
                <c:pt idx="3">
                  <c:v>2007-08</c:v>
                </c:pt>
                <c:pt idx="4">
                  <c:v>2008-09</c:v>
                </c:pt>
                <c:pt idx="5">
                  <c:v>2009-10</c:v>
                </c:pt>
                <c:pt idx="6">
                  <c:v>2010-11</c:v>
                </c:pt>
                <c:pt idx="7">
                  <c:v>2011-12</c:v>
                </c:pt>
                <c:pt idx="8">
                  <c:v>2012-13</c:v>
                </c:pt>
                <c:pt idx="9">
                  <c:v>2013-14</c:v>
                </c:pt>
                <c:pt idx="10">
                  <c:v>2014-15</c:v>
                </c:pt>
                <c:pt idx="11">
                  <c:v>2015-16</c:v>
                </c:pt>
              </c:strCache>
            </c:strRef>
          </c:cat>
          <c:val>
            <c:numRef>
              <c:f>Sheet1!$B$9:$M$9</c:f>
              <c:numCache>
                <c:formatCode>General</c:formatCode>
                <c:ptCount val="12"/>
                <c:pt idx="9">
                  <c:v>58</c:v>
                </c:pt>
                <c:pt idx="10">
                  <c:v>10</c:v>
                </c:pt>
                <c:pt idx="11">
                  <c:v>9</c:v>
                </c:pt>
              </c:numCache>
            </c:numRef>
          </c:val>
        </c:ser>
        <c:dLbls>
          <c:showLegendKey val="0"/>
          <c:showVal val="0"/>
          <c:showCatName val="0"/>
          <c:showSerName val="0"/>
          <c:showPercent val="0"/>
          <c:showBubbleSize val="0"/>
        </c:dLbls>
        <c:gapWidth val="150"/>
        <c:axId val="125879808"/>
        <c:axId val="125881728"/>
      </c:barChart>
      <c:catAx>
        <c:axId val="125879808"/>
        <c:scaling>
          <c:orientation val="minMax"/>
        </c:scaling>
        <c:delete val="0"/>
        <c:axPos val="b"/>
        <c:title>
          <c:tx>
            <c:rich>
              <a:bodyPr/>
              <a:lstStyle/>
              <a:p>
                <a:pPr>
                  <a:defRPr/>
                </a:pPr>
                <a:r>
                  <a:rPr lang="en-US"/>
                  <a:t>Season</a:t>
                </a:r>
              </a:p>
            </c:rich>
          </c:tx>
          <c:overlay val="0"/>
        </c:title>
        <c:majorTickMark val="out"/>
        <c:minorTickMark val="none"/>
        <c:tickLblPos val="nextTo"/>
        <c:crossAx val="125881728"/>
        <c:crosses val="autoZero"/>
        <c:auto val="1"/>
        <c:lblAlgn val="ctr"/>
        <c:lblOffset val="100"/>
        <c:noMultiLvlLbl val="0"/>
      </c:catAx>
      <c:valAx>
        <c:axId val="125881728"/>
        <c:scaling>
          <c:orientation val="minMax"/>
        </c:scaling>
        <c:delete val="0"/>
        <c:axPos val="l"/>
        <c:majorGridlines/>
        <c:title>
          <c:tx>
            <c:rich>
              <a:bodyPr rot="-5400000" vert="horz"/>
              <a:lstStyle/>
              <a:p>
                <a:pPr>
                  <a:defRPr/>
                </a:pPr>
                <a:r>
                  <a:rPr lang="en-US"/>
                  <a:t>Tonnes</a:t>
                </a:r>
              </a:p>
            </c:rich>
          </c:tx>
          <c:overlay val="0"/>
        </c:title>
        <c:numFmt formatCode="General" sourceLinked="1"/>
        <c:majorTickMark val="out"/>
        <c:minorTickMark val="none"/>
        <c:tickLblPos val="nextTo"/>
        <c:crossAx val="125879808"/>
        <c:crosses val="autoZero"/>
        <c:crossBetween val="between"/>
      </c:valAx>
    </c:plotArea>
    <c:legend>
      <c:legendPos val="r"/>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0.40172</cdr:x>
      <cdr:y>0.84404</cdr:y>
    </cdr:from>
    <cdr:to>
      <cdr:x>0.59483</cdr:x>
      <cdr:y>0.92355</cdr:y>
    </cdr:to>
    <cdr:sp macro="" textlink="">
      <cdr:nvSpPr>
        <cdr:cNvPr id="2" name="Text Box 1"/>
        <cdr:cNvSpPr txBox="1"/>
      </cdr:nvSpPr>
      <cdr:spPr>
        <a:xfrm xmlns:a="http://schemas.openxmlformats.org/drawingml/2006/main">
          <a:off x="2219325" y="2628900"/>
          <a:ext cx="1066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NZ" sz="1100" b="1" i="0" baseline="0"/>
            <a:t>Season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37CA4-FB79-4642-818B-651280B116AC}"/>
</file>

<file path=customXml/itemProps2.xml><?xml version="1.0" encoding="utf-8"?>
<ds:datastoreItem xmlns:ds="http://schemas.openxmlformats.org/officeDocument/2006/customXml" ds:itemID="{B8A5F0D7-54C8-4FFB-855B-58DE22FE60C9}"/>
</file>

<file path=customXml/itemProps3.xml><?xml version="1.0" encoding="utf-8"?>
<ds:datastoreItem xmlns:ds="http://schemas.openxmlformats.org/officeDocument/2006/customXml" ds:itemID="{59B80FB5-FAD8-4E05-93FD-A0E7A1BA857A}"/>
</file>

<file path=customXml/itemProps4.xml><?xml version="1.0" encoding="utf-8"?>
<ds:datastoreItem xmlns:ds="http://schemas.openxmlformats.org/officeDocument/2006/customXml" ds:itemID="{D7FEC3B3-B663-4844-B2D4-D3FA817F8EB5}"/>
</file>

<file path=docProps/app.xml><?xml version="1.0" encoding="utf-8"?>
<Properties xmlns="http://schemas.openxmlformats.org/officeDocument/2006/extended-properties" xmlns:vt="http://schemas.openxmlformats.org/officeDocument/2006/docPropsVTypes">
  <Template>Normal</Template>
  <TotalTime>1</TotalTime>
  <Pages>14</Pages>
  <Words>4554</Words>
  <Characters>25963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30457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Katzer, Lisa</dc:creator>
  <cp:lastModifiedBy>collea</cp:lastModifiedBy>
  <cp:revision>4</cp:revision>
  <dcterms:created xsi:type="dcterms:W3CDTF">2017-05-02T02:15:00Z</dcterms:created>
  <dcterms:modified xsi:type="dcterms:W3CDTF">2017-05-04T23:44:00Z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69ba65eb-edc8-4bf6-952a-113df66993af</vt:lpwstr>
  </property>
  <property fmtid="{D5CDD505-2E9C-101B-9397-08002B2CF9AE}" pid="4" name="BCS_">
    <vt:lpwstr>35;#Evaluation|43bd8487-b9f6-4055-946c-a118d364275d</vt:lpwstr>
  </property>
  <property fmtid="{D5CDD505-2E9C-101B-9397-08002B2CF9AE}" pid="5" name="DisposalClass">
    <vt:lpwstr/>
  </property>
  <property fmtid="{D5CDD505-2E9C-101B-9397-08002B2CF9AE}" pid="6" name="SPPCopyMoveEvent">
    <vt:lpwstr>0</vt:lpwstr>
  </property>
  <property fmtid="{D5CDD505-2E9C-101B-9397-08002B2CF9AE}" pid="7" name="_MarkAsFinal">
    <vt:bool>true</vt:bool>
  </property>
</Properties>
</file>